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9340b39d45400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chronic obstructive pulmonary disease,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chronic obstructive pulmonary disease,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2a636eb3b417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4cfb1d679b4d1a">
              <w:r>
                <w:rPr>
                  <w:rStyle w:val="Hyperlink"/>
                </w:rPr>
                <w:t xml:space="preserve">Australian Atlas of Healthcare Variation 2017</w:t>
              </w:r>
            </w:hyperlink>
          </w:p>
          <w:p>
            <w:pPr>
              <w:spacing w:before="0" w:after="0"/>
            </w:pPr>
            <w:r>
              <w:rPr>
                <w:rStyle w:val="row-content"/>
                <w:color w:val="244061"/>
              </w:rPr>
              <w:t xml:space="preserve">       </w:t>
            </w:r>
            <w:hyperlink w:history="true" r:id="R62e9bff759d143e5">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450" w:type="pct"/>
                  <w:vAlign w:val="top"/>
                </w:tcPr>
                <w:p>
                  <w:pPr/>
                  <w:r>
                    <w:rPr>
                      <w:rStyle w:val="row-content-rich-text"/>
                    </w:rPr>
                    <w:t xml:space="preserve"> </w:t>
                  </w:r>
                  <w:r>
                    <w:rPr>
                      <w:rStyle w:val="row-content-rich-text"/>
                      <w:b/>
                    </w:rPr>
                    <w:t xml:space="preserve">ICD-10-AM 8th edition code</w:t>
                  </w:r>
                </w:p>
              </w:tc>
              <w:tc>
                <w:tcPr>
                  <w:tcW w:w="1000" w:type="pct"/>
                  <w:vAlign w:val="top"/>
                </w:tcPr>
                <w:p>
                  <w:r>
                    <w:rPr>
                      <w:b/>
                    </w:rPr>
                    <w:t xml:space="preserve">Description</w:t>
                  </w:r>
                </w:p>
              </w:tc>
              <w:tc>
                <w:tcPr>
                  <w:tcW w:w="2500" w:type="pct"/>
                  <w:vAlign w:val="top"/>
                </w:tcPr>
                <w:p>
                  <w:r>
                    <w:rPr>
                      <w:b/>
                    </w:rPr>
                    <w:t xml:space="preserve">Additional requirements</w:t>
                  </w:r>
                </w:p>
              </w:tc>
            </w:tr>
            <w:tr>
              <w:trPr/>
              <w:tc>
                <w:tcPr>
                  <w:tcW w:w="1450" w:type="pct"/>
                  <w:vAlign w:val="top"/>
                </w:tcPr>
                <w:p>
                  <w:r>
                    <w:t xml:space="preserve">J20.0</w:t>
                  </w:r>
                </w:p>
              </w:tc>
              <w:tc>
                <w:tcPr>
                  <w:tcW w:w="1000" w:type="pct"/>
                  <w:vAlign w:val="top"/>
                </w:tcPr>
                <w:p>
                  <w:r>
                    <w:t xml:space="preserve">Acute bronchitis due to</w:t>
                  </w:r>
                  <w:r>
                    <w:rPr>
                      <w:i/>
                    </w:rPr>
                    <w:t xml:space="preserve"> Mycoplasma pneumonia</w:t>
                  </w:r>
                </w:p>
              </w:tc>
              <w:tc>
                <w:tcPr>
                  <w:tcW w:w="2500" w:type="pct"/>
                  <w:vMerge w:val="restart"/>
                  <w:vAlign w:val="top"/>
                </w:tcPr>
                <w:p>
                  <w:r>
                    <w:t xml:space="preserve">As principal diagnosis.</w:t>
                  </w:r>
                </w:p>
                <w:p>
                  <w:r>
                    <w:t xml:space="preserve">Only with additional diagnoses of J41, J42, J43, J44.</w:t>
                  </w:r>
                </w:p>
              </w:tc>
            </w:tr>
            <w:tr>
              <w:trPr/>
              <w:tc>
                <w:tcPr>
                  <w:tcW w:w="1450" w:type="pct"/>
                  <w:vAlign w:val="top"/>
                </w:tcPr>
                <w:p>
                  <w:r>
                    <w:t xml:space="preserve">J20.1</w:t>
                  </w:r>
                </w:p>
              </w:tc>
              <w:tc>
                <w:tcPr>
                  <w:tcW w:w="1000" w:type="pct"/>
                  <w:vMerge/>
                </w:tcPr>
                <w:p/>
              </w:tc>
              <w:tc>
                <w:tcPr>
                  <w:tcW w:w="2500" w:type="pct"/>
                  <w:vAlign w:val="top"/>
                </w:tcPr>
                <w:p>
                  <w:r>
                    <w:t xml:space="preserve">Acute bronchitis due to </w:t>
                  </w:r>
                  <w:r>
                    <w:rPr>
                      <w:i/>
                    </w:rPr>
                    <w:t xml:space="preserve">Haemophilus influenza</w:t>
                  </w:r>
                </w:p>
              </w:tc>
            </w:tr>
            <w:tr>
              <w:trPr/>
              <w:tc>
                <w:tcPr>
                  <w:tcW w:w="1450" w:type="pct"/>
                  <w:vAlign w:val="top"/>
                </w:tcPr>
                <w:p>
                  <w:r>
                    <w:t xml:space="preserve">J20.2</w:t>
                  </w:r>
                </w:p>
              </w:tc>
              <w:tc>
                <w:tcPr>
                  <w:tcW w:w="1000" w:type="pct"/>
                  <w:vMerge/>
                </w:tcPr>
                <w:p/>
              </w:tc>
              <w:tc>
                <w:tcPr>
                  <w:tcW w:w="2500" w:type="pct"/>
                  <w:vAlign w:val="top"/>
                </w:tcPr>
                <w:p>
                  <w:r>
                    <w:t xml:space="preserve">Acute bronchitis due to streptococcus</w:t>
                  </w:r>
                </w:p>
              </w:tc>
            </w:tr>
            <w:tr>
              <w:trPr/>
              <w:tc>
                <w:tcPr>
                  <w:tcW w:w="1450" w:type="pct"/>
                  <w:vAlign w:val="top"/>
                </w:tcPr>
                <w:p>
                  <w:r>
                    <w:t xml:space="preserve">J20.3</w:t>
                  </w:r>
                </w:p>
              </w:tc>
              <w:tc>
                <w:tcPr>
                  <w:tcW w:w="1000" w:type="pct"/>
                  <w:vMerge/>
                </w:tcPr>
                <w:p/>
              </w:tc>
              <w:tc>
                <w:tcPr>
                  <w:tcW w:w="2500" w:type="pct"/>
                  <w:vAlign w:val="top"/>
                </w:tcPr>
                <w:p>
                  <w:r>
                    <w:t xml:space="preserve">Acute bronchitis due to coxsackievirus</w:t>
                  </w:r>
                </w:p>
              </w:tc>
            </w:tr>
            <w:tr>
              <w:trPr/>
              <w:tc>
                <w:tcPr>
                  <w:tcW w:w="1450" w:type="pct"/>
                  <w:vAlign w:val="top"/>
                </w:tcPr>
                <w:p>
                  <w:r>
                    <w:t xml:space="preserve">J20.4</w:t>
                  </w:r>
                </w:p>
              </w:tc>
              <w:tc>
                <w:tcPr>
                  <w:tcW w:w="1000" w:type="pct"/>
                  <w:vMerge/>
                </w:tcPr>
                <w:p/>
              </w:tc>
              <w:tc>
                <w:tcPr>
                  <w:tcW w:w="2500" w:type="pct"/>
                  <w:vAlign w:val="top"/>
                </w:tcPr>
                <w:p>
                  <w:r>
                    <w:t xml:space="preserve">Acute bronchitis due to parainfluenza virus</w:t>
                  </w:r>
                </w:p>
              </w:tc>
            </w:tr>
            <w:tr>
              <w:trPr/>
              <w:tc>
                <w:tcPr>
                  <w:tcW w:w="1450" w:type="pct"/>
                  <w:vAlign w:val="top"/>
                </w:tcPr>
                <w:p>
                  <w:r>
                    <w:t xml:space="preserve">J20.5</w:t>
                  </w:r>
                </w:p>
              </w:tc>
              <w:tc>
                <w:tcPr>
                  <w:tcW w:w="1000" w:type="pct"/>
                  <w:vMerge/>
                </w:tcPr>
                <w:p/>
              </w:tc>
              <w:tc>
                <w:tcPr>
                  <w:tcW w:w="2500" w:type="pct"/>
                  <w:vAlign w:val="top"/>
                </w:tcPr>
                <w:p>
                  <w:r>
                    <w:t xml:space="preserve">Acute bronchitis due to respiratory syncytial virus</w:t>
                  </w:r>
                </w:p>
              </w:tc>
            </w:tr>
            <w:tr>
              <w:trPr/>
              <w:tc>
                <w:tcPr>
                  <w:tcW w:w="1450" w:type="pct"/>
                  <w:vAlign w:val="top"/>
                </w:tcPr>
                <w:p>
                  <w:r>
                    <w:t xml:space="preserve">J20.6</w:t>
                  </w:r>
                </w:p>
              </w:tc>
              <w:tc>
                <w:tcPr>
                  <w:tcW w:w="1000" w:type="pct"/>
                  <w:vMerge/>
                </w:tcPr>
                <w:p/>
              </w:tc>
              <w:tc>
                <w:tcPr>
                  <w:tcW w:w="2500" w:type="pct"/>
                  <w:vAlign w:val="top"/>
                </w:tcPr>
                <w:p>
                  <w:r>
                    <w:t xml:space="preserve">Acute bronchitis due to rhinovirus</w:t>
                  </w:r>
                </w:p>
              </w:tc>
            </w:tr>
            <w:tr>
              <w:trPr/>
              <w:tc>
                <w:tcPr>
                  <w:tcW w:w="1450" w:type="pct"/>
                  <w:vAlign w:val="top"/>
                </w:tcPr>
                <w:p>
                  <w:r>
                    <w:t xml:space="preserve">J20.7</w:t>
                  </w:r>
                </w:p>
              </w:tc>
              <w:tc>
                <w:tcPr>
                  <w:tcW w:w="1000" w:type="pct"/>
                  <w:vMerge/>
                </w:tcPr>
                <w:p/>
              </w:tc>
              <w:tc>
                <w:tcPr>
                  <w:tcW w:w="2500" w:type="pct"/>
                  <w:vAlign w:val="top"/>
                </w:tcPr>
                <w:p>
                  <w:r>
                    <w:t xml:space="preserve">Acute bronchitis due to echovirus</w:t>
                  </w:r>
                </w:p>
              </w:tc>
            </w:tr>
            <w:tr>
              <w:trPr/>
              <w:tc>
                <w:tcPr>
                  <w:tcW w:w="1450" w:type="pct"/>
                  <w:vAlign w:val="top"/>
                </w:tcPr>
                <w:p>
                  <w:r>
                    <w:t xml:space="preserve">J20.8</w:t>
                  </w:r>
                </w:p>
              </w:tc>
              <w:tc>
                <w:tcPr>
                  <w:tcW w:w="1000" w:type="pct"/>
                  <w:vMerge/>
                </w:tcPr>
                <w:p/>
              </w:tc>
              <w:tc>
                <w:tcPr>
                  <w:tcW w:w="2500" w:type="pct"/>
                  <w:vAlign w:val="top"/>
                </w:tcPr>
                <w:p>
                  <w:r>
                    <w:t xml:space="preserve">Acute bronchitis due to other specified organisms</w:t>
                  </w:r>
                </w:p>
              </w:tc>
            </w:tr>
            <w:tr>
              <w:trPr/>
              <w:tc>
                <w:tcPr>
                  <w:tcW w:w="1450" w:type="pct"/>
                  <w:vAlign w:val="top"/>
                </w:tcPr>
                <w:p>
                  <w:r>
                    <w:t xml:space="preserve">J20.9</w:t>
                  </w:r>
                </w:p>
              </w:tc>
              <w:tc>
                <w:tcPr>
                  <w:tcW w:w="1000" w:type="pct"/>
                  <w:vMerge/>
                </w:tcPr>
                <w:p/>
              </w:tc>
              <w:tc>
                <w:tcPr>
                  <w:tcW w:w="2500" w:type="pct"/>
                  <w:vAlign w:val="top"/>
                </w:tcPr>
                <w:p>
                  <w:r>
                    <w:t xml:space="preserve">Acute bronchitis, unspecified</w:t>
                  </w:r>
                </w:p>
              </w:tc>
            </w:tr>
            <w:tr>
              <w:trPr/>
              <w:tc>
                <w:tcPr>
                  <w:tcW w:w="1450" w:type="pct"/>
                  <w:vAlign w:val="top"/>
                </w:tcPr>
                <w:p>
                  <w:r>
                    <w:t xml:space="preserve">J41.0</w:t>
                  </w:r>
                </w:p>
              </w:tc>
              <w:tc>
                <w:tcPr>
                  <w:tcW w:w="1000" w:type="pct"/>
                  <w:vAlign w:val="top"/>
                </w:tcPr>
                <w:p>
                  <w:r>
                    <w:t xml:space="preserve">Simple chronic bronchitis</w:t>
                  </w:r>
                </w:p>
              </w:tc>
              <w:tc>
                <w:tcPr>
                  <w:tcW w:w="2500" w:type="pct"/>
                  <w:vMerge w:val="restart"/>
                  <w:vAlign w:val="top"/>
                </w:tcPr>
                <w:p>
                  <w:r>
                    <w:t xml:space="preserve">As principal diagnosis.</w:t>
                  </w:r>
                </w:p>
                <w:p>
                  <w:r>
                    <w:t xml:space="preserve"> </w:t>
                  </w:r>
                </w:p>
                <w:p>
                  <w:r>
                    <w:t xml:space="preserve"> </w:t>
                  </w:r>
                </w:p>
              </w:tc>
            </w:tr>
            <w:tr>
              <w:trPr/>
              <w:tc>
                <w:tcPr>
                  <w:tcW w:w="1450" w:type="pct"/>
                  <w:vAlign w:val="top"/>
                </w:tcPr>
                <w:p>
                  <w:r>
                    <w:t xml:space="preserve">J41.1</w:t>
                  </w:r>
                </w:p>
              </w:tc>
              <w:tc>
                <w:tcPr>
                  <w:tcW w:w="1000" w:type="pct"/>
                  <w:vMerge/>
                </w:tcPr>
                <w:p/>
              </w:tc>
              <w:tc>
                <w:tcPr>
                  <w:tcW w:w="2500" w:type="pct"/>
                  <w:vAlign w:val="top"/>
                </w:tcPr>
                <w:p>
                  <w:r>
                    <w:t xml:space="preserve">Mucopurulent chronic bronchitis</w:t>
                  </w:r>
                </w:p>
              </w:tc>
            </w:tr>
            <w:tr>
              <w:trPr/>
              <w:tc>
                <w:tcPr>
                  <w:tcW w:w="1450" w:type="pct"/>
                  <w:vAlign w:val="top"/>
                </w:tcPr>
                <w:p>
                  <w:r>
                    <w:t xml:space="preserve">J41.8</w:t>
                  </w:r>
                </w:p>
              </w:tc>
              <w:tc>
                <w:tcPr>
                  <w:tcW w:w="1000" w:type="pct"/>
                  <w:vMerge/>
                </w:tcPr>
                <w:p/>
              </w:tc>
              <w:tc>
                <w:tcPr>
                  <w:tcW w:w="2500" w:type="pct"/>
                  <w:vAlign w:val="top"/>
                </w:tcPr>
                <w:p>
                  <w:r>
                    <w:t xml:space="preserve">Mixed simple and mucopurulent chronic bronchitis</w:t>
                  </w:r>
                </w:p>
              </w:tc>
            </w:tr>
            <w:tr>
              <w:trPr/>
              <w:tc>
                <w:tcPr>
                  <w:tcW w:w="1450" w:type="pct"/>
                  <w:vAlign w:val="top"/>
                </w:tcPr>
                <w:p>
                  <w:r>
                    <w:t xml:space="preserve">J42</w:t>
                  </w:r>
                </w:p>
              </w:tc>
              <w:tc>
                <w:tcPr>
                  <w:tcW w:w="1000" w:type="pct"/>
                  <w:vMerge/>
                </w:tcPr>
                <w:p/>
              </w:tc>
              <w:tc>
                <w:tcPr>
                  <w:tcW w:w="2500" w:type="pct"/>
                  <w:vAlign w:val="top"/>
                </w:tcPr>
                <w:p>
                  <w:r>
                    <w:t xml:space="preserve">Unspecified chronic bronchitis</w:t>
                  </w:r>
                </w:p>
              </w:tc>
            </w:tr>
            <w:tr>
              <w:trPr/>
              <w:tc>
                <w:tcPr>
                  <w:tcW w:w="1450" w:type="pct"/>
                  <w:vAlign w:val="top"/>
                </w:tcPr>
                <w:p>
                  <w:r>
                    <w:t xml:space="preserve">J43.0</w:t>
                  </w:r>
                </w:p>
              </w:tc>
              <w:tc>
                <w:tcPr>
                  <w:tcW w:w="1000" w:type="pct"/>
                  <w:vMerge/>
                </w:tcPr>
                <w:p/>
              </w:tc>
              <w:tc>
                <w:tcPr>
                  <w:tcW w:w="2500" w:type="pct"/>
                  <w:vAlign w:val="top"/>
                </w:tcPr>
                <w:p>
                  <w:r>
                    <w:t xml:space="preserve">MacLeod’s syndrome</w:t>
                  </w:r>
                </w:p>
              </w:tc>
            </w:tr>
            <w:tr>
              <w:trPr/>
              <w:tc>
                <w:tcPr>
                  <w:tcW w:w="1450" w:type="pct"/>
                  <w:vAlign w:val="top"/>
                </w:tcPr>
                <w:p>
                  <w:r>
                    <w:t xml:space="preserve">J43.1</w:t>
                  </w:r>
                </w:p>
              </w:tc>
              <w:tc>
                <w:tcPr>
                  <w:tcW w:w="1000" w:type="pct"/>
                  <w:vMerge/>
                </w:tcPr>
                <w:p/>
              </w:tc>
              <w:tc>
                <w:tcPr>
                  <w:tcW w:w="2500" w:type="pct"/>
                  <w:vAlign w:val="top"/>
                </w:tcPr>
                <w:p>
                  <w:r>
                    <w:t xml:space="preserve">Panlobular emphysema</w:t>
                  </w:r>
                </w:p>
              </w:tc>
            </w:tr>
            <w:tr>
              <w:trPr/>
              <w:tc>
                <w:tcPr>
                  <w:tcW w:w="1450" w:type="pct"/>
                  <w:vAlign w:val="top"/>
                </w:tcPr>
                <w:p>
                  <w:r>
                    <w:t xml:space="preserve">J43.2</w:t>
                  </w:r>
                </w:p>
              </w:tc>
              <w:tc>
                <w:tcPr>
                  <w:tcW w:w="1000" w:type="pct"/>
                  <w:vMerge/>
                </w:tcPr>
                <w:p/>
              </w:tc>
              <w:tc>
                <w:tcPr>
                  <w:tcW w:w="2500" w:type="pct"/>
                  <w:vAlign w:val="top"/>
                </w:tcPr>
                <w:p>
                  <w:r>
                    <w:t xml:space="preserve">Centrilobular emphysema</w:t>
                  </w:r>
                </w:p>
              </w:tc>
            </w:tr>
            <w:tr>
              <w:trPr/>
              <w:tc>
                <w:tcPr>
                  <w:tcW w:w="1450" w:type="pct"/>
                  <w:vAlign w:val="top"/>
                </w:tcPr>
                <w:p>
                  <w:r>
                    <w:t xml:space="preserve">J43.8</w:t>
                  </w:r>
                </w:p>
              </w:tc>
              <w:tc>
                <w:tcPr>
                  <w:tcW w:w="1000" w:type="pct"/>
                  <w:vMerge/>
                </w:tcPr>
                <w:p/>
              </w:tc>
              <w:tc>
                <w:tcPr>
                  <w:tcW w:w="2500" w:type="pct"/>
                  <w:vAlign w:val="top"/>
                </w:tcPr>
                <w:p>
                  <w:r>
                    <w:t xml:space="preserve">Other emphysema</w:t>
                  </w:r>
                </w:p>
              </w:tc>
            </w:tr>
            <w:tr>
              <w:trPr/>
              <w:tc>
                <w:tcPr>
                  <w:tcW w:w="1450" w:type="pct"/>
                  <w:vAlign w:val="top"/>
                </w:tcPr>
                <w:p>
                  <w:r>
                    <w:t xml:space="preserve">J43.9</w:t>
                  </w:r>
                </w:p>
              </w:tc>
              <w:tc>
                <w:tcPr>
                  <w:tcW w:w="1000" w:type="pct"/>
                  <w:vMerge/>
                </w:tcPr>
                <w:p/>
              </w:tc>
              <w:tc>
                <w:tcPr>
                  <w:tcW w:w="2500" w:type="pct"/>
                  <w:vAlign w:val="top"/>
                </w:tcPr>
                <w:p>
                  <w:r>
                    <w:t xml:space="preserve">Emphysema, unspecified</w:t>
                  </w:r>
                </w:p>
              </w:tc>
            </w:tr>
            <w:tr>
              <w:trPr/>
              <w:tc>
                <w:tcPr>
                  <w:tcW w:w="1450" w:type="pct"/>
                  <w:vAlign w:val="top"/>
                </w:tcPr>
                <w:p>
                  <w:r>
                    <w:t xml:space="preserve">J44.0</w:t>
                  </w:r>
                </w:p>
              </w:tc>
              <w:tc>
                <w:tcPr>
                  <w:tcW w:w="1000" w:type="pct"/>
                  <w:vMerge/>
                </w:tcPr>
                <w:p/>
              </w:tc>
              <w:tc>
                <w:tcPr>
                  <w:tcW w:w="2500" w:type="pct"/>
                  <w:vAlign w:val="top"/>
                </w:tcPr>
                <w:p>
                  <w:r>
                    <w:t xml:space="preserve">Chronic obstructive pulmonary disease with acute lower respiratory infection</w:t>
                  </w:r>
                </w:p>
              </w:tc>
            </w:tr>
            <w:tr>
              <w:trPr/>
              <w:tc>
                <w:tcPr>
                  <w:tcW w:w="1450" w:type="pct"/>
                  <w:vAlign w:val="top"/>
                </w:tcPr>
                <w:p>
                  <w:r>
                    <w:t xml:space="preserve">J44.1</w:t>
                  </w:r>
                </w:p>
              </w:tc>
              <w:tc>
                <w:tcPr>
                  <w:tcW w:w="1000" w:type="pct"/>
                  <w:vMerge/>
                </w:tcPr>
                <w:p/>
              </w:tc>
              <w:tc>
                <w:tcPr>
                  <w:tcW w:w="2500" w:type="pct"/>
                  <w:vAlign w:val="top"/>
                </w:tcPr>
                <w:p>
                  <w:r>
                    <w:t xml:space="preserve">Chronic obstructive pulmonary disease with acute exacerbation, unspecified</w:t>
                  </w:r>
                </w:p>
              </w:tc>
            </w:tr>
            <w:tr>
              <w:trPr/>
              <w:tc>
                <w:tcPr>
                  <w:tcW w:w="1450" w:type="pct"/>
                  <w:vAlign w:val="top"/>
                </w:tcPr>
                <w:p>
                  <w:r>
                    <w:t xml:space="preserve">J44.8</w:t>
                  </w:r>
                </w:p>
              </w:tc>
              <w:tc>
                <w:tcPr>
                  <w:tcW w:w="1000" w:type="pct"/>
                  <w:vMerge/>
                </w:tcPr>
                <w:p/>
              </w:tc>
              <w:tc>
                <w:tcPr>
                  <w:tcW w:w="2500" w:type="pct"/>
                  <w:vAlign w:val="top"/>
                </w:tcPr>
                <w:p>
                  <w:r>
                    <w:t xml:space="preserve">Other specified chronic obstructive pulmonary disease</w:t>
                  </w:r>
                </w:p>
              </w:tc>
            </w:tr>
            <w:tr>
              <w:trPr/>
              <w:tc>
                <w:tcPr>
                  <w:tcW w:w="1450" w:type="pct"/>
                  <w:vAlign w:val="top"/>
                </w:tcPr>
                <w:p>
                  <w:r>
                    <w:t xml:space="preserve">J44.9</w:t>
                  </w:r>
                </w:p>
              </w:tc>
              <w:tc>
                <w:tcPr>
                  <w:tcW w:w="1000" w:type="pct"/>
                  <w:vMerge/>
                </w:tcPr>
                <w:p/>
              </w:tc>
              <w:tc>
                <w:tcPr>
                  <w:tcW w:w="2500" w:type="pct"/>
                  <w:vAlign w:val="top"/>
                </w:tcPr>
                <w:p>
                  <w:r>
                    <w:t xml:space="preserve">Chronic obstructive pulmonary disease, unspecified</w:t>
                  </w:r>
                </w:p>
              </w:tc>
            </w:tr>
          </w:tbl>
          <w:p>
            <w:r>
              <w:t xml:space="preserve"> </w:t>
            </w:r>
          </w:p>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9aeba25bb29a414c">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COPD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5e66d155eb4bb7">
              <w:r>
                <w:rPr>
                  <w:rStyle w:val="Hyperlink"/>
                </w:rPr>
                <w:t xml:space="preserve">Person—date of birth, DDMMYYYY</w:t>
              </w:r>
            </w:hyperlink>
          </w:p>
          <w:p>
            <w:r>
              <w:rPr>
                <w:rStyle w:val="row-content"/>
                <w:b/>
              </w:rPr>
              <w:t xml:space="preserve">NMDS / DSS</w:t>
            </w:r>
          </w:p>
          <w:p>
            <w:hyperlink w:history="true" r:id="R44c284d534624b68">
              <w:r>
                <w:rPr>
                  <w:rStyle w:val="Hyperlink"/>
                </w:rPr>
                <w:t xml:space="preserve">Admitted patient care NMDS 2014-15</w:t>
              </w:r>
            </w:hyperlink>
          </w:p>
          <w:p>
            <w:r>
              <w:rPr>
                <w:rStyle w:val="row-content"/>
                <w:b/>
                <w:color w:val="000000"/>
              </w:rPr>
              <w:t xml:space="preserve">Data Element / Data Set</w:t>
            </w:r>
          </w:p>
          <w:p>
            <w:hyperlink w:history="true" r:id="R54e660ab4a254438">
              <w:r>
                <w:rPr>
                  <w:rStyle w:val="Hyperlink"/>
                </w:rPr>
                <w:t xml:space="preserve">Episode of care—principal diagnosis, code (ICD-10-AM 8th edn) ANN{.N[N]}</w:t>
              </w:r>
            </w:hyperlink>
          </w:p>
          <w:p>
            <w:r>
              <w:rPr>
                <w:rStyle w:val="row-content"/>
                <w:b/>
              </w:rPr>
              <w:t xml:space="preserve">Data Source</w:t>
            </w:r>
          </w:p>
          <w:p>
            <w:hyperlink w:history="true" r:id="Reee452d1af4e43c4">
              <w:r>
                <w:rPr>
                  <w:rStyle w:val="Hyperlink"/>
                </w:rPr>
                <w:t xml:space="preserve">National Hospital Morbidity Database (NHMD)</w:t>
              </w:r>
            </w:hyperlink>
          </w:p>
          <w:p>
            <w:r>
              <w:rPr>
                <w:rStyle w:val="row-content"/>
                <w:b/>
              </w:rPr>
              <w:t xml:space="preserve">NMDS / DSS</w:t>
            </w:r>
          </w:p>
          <w:p>
            <w:hyperlink w:history="true" r:id="R3063993f0f434abb">
              <w:r>
                <w:rPr>
                  <w:rStyle w:val="Hyperlink"/>
                </w:rPr>
                <w:t xml:space="preserve">Admitted patient care NMDS 2014-15</w:t>
              </w:r>
            </w:hyperlink>
          </w:p>
          <w:p>
            <w:r>
              <w:rPr>
                <w:rStyle w:val="row-content"/>
                <w:b/>
                <w:color w:val="000000"/>
              </w:rPr>
              <w:t xml:space="preserve">Data Element / Data Set</w:t>
            </w:r>
          </w:p>
          <w:p>
            <w:hyperlink w:history="true" r:id="R760d440091f54e18">
              <w:r>
                <w:rPr>
                  <w:rStyle w:val="Hyperlink"/>
                </w:rPr>
                <w:t xml:space="preserve">Hospital service—care type, code N[N]</w:t>
              </w:r>
            </w:hyperlink>
          </w:p>
          <w:p>
            <w:r>
              <w:rPr>
                <w:rStyle w:val="row-content"/>
                <w:b/>
              </w:rPr>
              <w:t xml:space="preserve">NMDS / DSS</w:t>
            </w:r>
          </w:p>
          <w:p>
            <w:hyperlink w:history="true" r:id="Rd202f093db5c40c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043da03f1724ac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cc5913be62d4b88">
              <w:r>
                <w:rPr>
                  <w:rStyle w:val="Hyperlink"/>
                </w:rPr>
                <w:t xml:space="preserve">Person—estimated resident population of Australia, total people N[N(7)]</w:t>
              </w:r>
            </w:hyperlink>
          </w:p>
          <w:p>
            <w:r>
              <w:rPr>
                <w:rStyle w:val="row-content"/>
                <w:b/>
              </w:rPr>
              <w:t xml:space="preserve">Data Source</w:t>
            </w:r>
          </w:p>
          <w:p>
            <w:hyperlink w:history="true" r:id="R8429d7a71fab473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a1cde9e1ef47f4">
              <w:r>
                <w:rPr>
                  <w:rStyle w:val="Hyperlink"/>
                </w:rPr>
                <w:t xml:space="preserve">Address—statistical area, level 3 (SA3) code (ASGS 2011) NNNNN</w:t>
              </w:r>
            </w:hyperlink>
          </w:p>
          <w:p>
            <w:r>
              <w:rPr>
                <w:rStyle w:val="row-content"/>
                <w:b/>
                <w:color w:val="000000"/>
              </w:rPr>
              <w:t xml:space="preserve">Data Element / Data Set</w:t>
            </w:r>
          </w:p>
          <w:p>
            <w:hyperlink w:history="true" r:id="R67987b7ae33b4edc">
              <w:r>
                <w:rPr>
                  <w:rStyle w:val="Hyperlink"/>
                </w:rPr>
                <w:t xml:space="preserve">Person—area of usual residence, statistical area level 2 (SA2) code (ASGS 2011) N(9)</w:t>
              </w:r>
            </w:hyperlink>
          </w:p>
          <w:p>
            <w:r>
              <w:rPr>
                <w:rStyle w:val="row-content"/>
                <w:b/>
              </w:rPr>
              <w:t xml:space="preserve">Data Source</w:t>
            </w:r>
          </w:p>
          <w:p>
            <w:hyperlink w:history="true" r:id="Rd07c1766f5b24f2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ca608aba8f45f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f6e06e87301439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e04ec762b5241e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e9bc01dd90492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f99b1b49bb0421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hyperlink w:history="true" r:id="R5de7416de2df4716">
              <w:r>
                <w:rPr>
                  <w:rStyle w:val="Hyperlink"/>
                </w:rPr>
                <w:t xml:space="preserve">National Healthcare Agreement: PI 18–Selected potentially preventable hospitalisations, 2017</w:t>
              </w:r>
            </w:hyperlink>
          </w:p>
          <w:p>
            <w:hyperlink w:history="true" r:id="R22deb53e51ca43f0">
              <w:r>
                <w:rPr>
                  <w:rStyle w:val="Hyperlink"/>
                </w:rPr>
                <w:t xml:space="preserve">/content/index.phtml/itemId/630028</w:t>
              </w:r>
            </w:hyperlink>
          </w:p>
          <w:p>
            <w:hyperlink w:history="true" r:id="Rc4f0a4c215b647af">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e5762830969142f4">
              <w:r>
                <w:rPr>
                  <w:rStyle w:val="Hyperlink"/>
                </w:rPr>
                <w:t xml:space="preserve">National Health Performance Authority 2015, Healthy Communities: Potentially preventable hospitalisations in 2013–14, Technical Supplement.</w:t>
              </w:r>
            </w:hyperlink>
          </w:p>
          <w:p>
            <w:pPr>
              <w:spacing w:after="160"/>
            </w:pPr>
            <w:r>
              <w:rPr>
                <w:rStyle w:val="row-content-rich-text"/>
              </w:rPr>
              <w:t xml:space="preserve"> </w:t>
            </w:r>
          </w:p>
          <w:p>
            <w:pPr>
              <w:spacing w:after="160"/>
            </w:pPr>
            <w:r>
              <w:rPr>
                <w:rStyle w:val="row-content-rich-text"/>
              </w:rPr>
              <w:t xml:space="preserve"> </w:t>
            </w:r>
          </w:p>
          <w:p>
            <w:r>
              <w:br/>
            </w:r>
            <w:r>
              <w:br/>
            </w:r>
            <w:r>
              <w:br/>
            </w:r>
            <w:r>
              <w:br/>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2934a36b6d4d26">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c253428746e64f6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755e1eac9a4c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638732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9cfcc8877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e1eac9a4c4678" /><Relationship Type="http://schemas.openxmlformats.org/officeDocument/2006/relationships/header" Target="/word/header1.xml" Id="Rf5116793b9704b73" /><Relationship Type="http://schemas.openxmlformats.org/officeDocument/2006/relationships/settings" Target="/word/settings.xml" Id="Rdc4508c5d7c74cd3" /><Relationship Type="http://schemas.openxmlformats.org/officeDocument/2006/relationships/styles" Target="/word/styles.xml" Id="R8a71eb6398144d9f" /><Relationship Type="http://schemas.openxmlformats.org/officeDocument/2006/relationships/hyperlink" Target="https://meteor.aihw.gov.au/RegistrationAuthority/18" TargetMode="External" Id="R7972a636eb3b4171" /><Relationship Type="http://schemas.openxmlformats.org/officeDocument/2006/relationships/hyperlink" Target="https://meteor.aihw.gov.au/content/674758" TargetMode="External" Id="R154cfb1d679b4d1a" /><Relationship Type="http://schemas.openxmlformats.org/officeDocument/2006/relationships/hyperlink" Target="https://meteor.aihw.gov.au/RegistrationAuthority/18" TargetMode="External" Id="R62e9bff759d143e5" /><Relationship Type="http://schemas.openxmlformats.org/officeDocument/2006/relationships/hyperlink" Target="https://meteor.aihw.gov.au/content/327276" TargetMode="External" Id="R9aeba25bb29a414c" /><Relationship Type="http://schemas.openxmlformats.org/officeDocument/2006/relationships/numbering" Target="/word/numbering.xml" Id="R0a2bb38994754a80" /><Relationship Type="http://schemas.openxmlformats.org/officeDocument/2006/relationships/hyperlink" Target="https://meteor.aihw.gov.au/content/287007" TargetMode="External" Id="R8c5e66d155eb4bb7" /><Relationship Type="http://schemas.openxmlformats.org/officeDocument/2006/relationships/hyperlink" Target="https://meteor.aihw.gov.au/content/535047" TargetMode="External" Id="R44c284d534624b68" /><Relationship Type="http://schemas.openxmlformats.org/officeDocument/2006/relationships/hyperlink" Target="https://meteor.aihw.gov.au/content/514273" TargetMode="External" Id="R54e660ab4a254438" /><Relationship Type="http://schemas.openxmlformats.org/officeDocument/2006/relationships/hyperlink" Target="https://meteor.aihw.gov.au/content/394352" TargetMode="External" Id="Reee452d1af4e43c4" /><Relationship Type="http://schemas.openxmlformats.org/officeDocument/2006/relationships/hyperlink" Target="https://meteor.aihw.gov.au/content/535047" TargetMode="External" Id="R3063993f0f434abb" /><Relationship Type="http://schemas.openxmlformats.org/officeDocument/2006/relationships/hyperlink" Target="https://meteor.aihw.gov.au/content/584408" TargetMode="External" Id="R760d440091f54e18" /><Relationship Type="http://schemas.openxmlformats.org/officeDocument/2006/relationships/hyperlink" Target="https://meteor.aihw.gov.au/content/535047" TargetMode="External" Id="Rd202f093db5c40c8" /><Relationship Type="http://schemas.openxmlformats.org/officeDocument/2006/relationships/hyperlink" Target="https://meteor.aihw.gov.au/content/394092" TargetMode="External" Id="R3043da03f1724ac2" /><Relationship Type="http://schemas.openxmlformats.org/officeDocument/2006/relationships/hyperlink" Target="https://meteor.aihw.gov.au/content/388656" TargetMode="External" Id="R0cc5913be62d4b88" /><Relationship Type="http://schemas.openxmlformats.org/officeDocument/2006/relationships/hyperlink" Target="https://meteor.aihw.gov.au/content/393625" TargetMode="External" Id="R8429d7a71fab4739" /><Relationship Type="http://schemas.openxmlformats.org/officeDocument/2006/relationships/hyperlink" Target="https://meteor.aihw.gov.au/content/457293" TargetMode="External" Id="R32a1cde9e1ef47f4" /><Relationship Type="http://schemas.openxmlformats.org/officeDocument/2006/relationships/hyperlink" Target="https://meteor.aihw.gov.au/content/469909" TargetMode="External" Id="R67987b7ae33b4edc" /><Relationship Type="http://schemas.openxmlformats.org/officeDocument/2006/relationships/hyperlink" Target="https://meteor.aihw.gov.au/content/394352" TargetMode="External" Id="Rd07c1766f5b24f27" /><Relationship Type="http://schemas.openxmlformats.org/officeDocument/2006/relationships/hyperlink" Target="https://meteor.aihw.gov.au/content/394092" TargetMode="External" Id="R31ca608aba8f45f7" /><Relationship Type="http://schemas.openxmlformats.org/officeDocument/2006/relationships/hyperlink" Target="https://meteor.aihw.gov.au/content/449223" TargetMode="External" Id="R2f6e06e873014391" /><Relationship Type="http://schemas.openxmlformats.org/officeDocument/2006/relationships/hyperlink" Target="https://meteor.aihw.gov.au/content/393625" TargetMode="External" Id="Rfe04ec762b5241e7" /><Relationship Type="http://schemas.openxmlformats.org/officeDocument/2006/relationships/hyperlink" Target="https://meteor.aihw.gov.au/content/449216" TargetMode="External" Id="Raae9bc01dd90492b" /><Relationship Type="http://schemas.openxmlformats.org/officeDocument/2006/relationships/hyperlink" Target="https://meteor.aihw.gov.au/content/394352" TargetMode="External" Id="R9f99b1b49bb04212" /><Relationship Type="http://schemas.openxmlformats.org/officeDocument/2006/relationships/hyperlink" Target="https://meteor.aihw.gov.au/content/630028" TargetMode="External" Id="R5de7416de2df4716" /><Relationship Type="http://schemas.openxmlformats.org/officeDocument/2006/relationships/hyperlink" Target="https://meteor.aihw.gov.au/content/630028" TargetMode="External" Id="R22deb53e51ca43f0" /><Relationship Type="http://schemas.openxmlformats.org/officeDocument/2006/relationships/hyperlink" Target="http://www.safetyandquality.gov.au/wp-content/uploads/2014/05/Exploring-Healthcare-Variation-in-Australia-Analyses-Resulting-from-an-OECD-Study.pdf" TargetMode="External" Id="Rc4f0a4c215b647af" /><Relationship Type="http://schemas.openxmlformats.org/officeDocument/2006/relationships/hyperlink" Target="http://www.myhealthycommunities.gov.au/our-reports/potentially-preventable-hospitalisations/december-2015/technical-supplement" TargetMode="External" Id="Re5762830969142f4" /><Relationship Type="http://schemas.openxmlformats.org/officeDocument/2006/relationships/hyperlink" Target="https://meteor.aihw.gov.au/content/724575" TargetMode="External" Id="R802934a36b6d4d26" /><Relationship Type="http://schemas.openxmlformats.org/officeDocument/2006/relationships/hyperlink" Target="https://meteor.aihw.gov.au/RegistrationAuthority/18" TargetMode="External" Id="Rc253428746e64f6d" /></Relationships>
</file>

<file path=word/_rels/header1.xml.rels>&#65279;<?xml version="1.0" encoding="utf-8"?><Relationships xmlns="http://schemas.openxmlformats.org/package/2006/relationships"><Relationship Type="http://schemas.openxmlformats.org/officeDocument/2006/relationships/image" Target="/media/image.png" Id="R6bc9cfcc88774515" /></Relationships>
</file>