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96fee3dee644e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2014–15—Data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8b32528b74698">
              <w:r>
                <w:rPr>
                  <w:rStyle w:val="Hyperlink"/>
                  <w:color w:val="244061"/>
                </w:rPr>
                <w:t xml:space="preserve">AIHW Data Quality Statements</w:t>
              </w:r>
            </w:hyperlink>
            <w:r>
              <w:rPr>
                <w:rStyle w:val="row-content"/>
                <w:color w:val="244061"/>
              </w:rPr>
              <w:t xml:space="preserve">, Superseded 28/06/2017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All in-scope service agencies are publicly funded, including some funding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(care should be taken when making comparisons between them).</w:t>
            </w:r>
          </w:p>
          <w:p>
            <w:pPr>
              <w:pStyle w:val="ListParagraph"/>
              <w:numPr>
                <w:ilvl w:val="0"/>
                <w:numId w:val="2"/>
              </w:numPr>
            </w:pPr>
            <w:r>
              <w:rPr>
                <w:rStyle w:val="row-content-rich-text"/>
              </w:rPr>
              <w:t xml:space="preserve">Data for 2001–02 and 2002–03 have not been included in the 2014–15 annual report due to comparability issues. </w:t>
            </w:r>
          </w:p>
          <w:p>
            <w:pPr>
              <w:pStyle w:val="ListParagraph"/>
              <w:numPr>
                <w:ilvl w:val="0"/>
                <w:numId w:val="2"/>
              </w:numPr>
            </w:pPr>
            <w:r>
              <w:rPr>
                <w:rStyle w:val="row-content-rich-text"/>
              </w:rPr>
              <w:t xml:space="preserve">Data from 2005–06 have been included in the 2014–15 annual report, presenting 10 year trend analysis where possible.</w:t>
            </w:r>
          </w:p>
          <w:p>
            <w:pPr>
              <w:pStyle w:val="ListParagraph"/>
              <w:numPr>
                <w:ilvl w:val="0"/>
                <w:numId w:val="2"/>
              </w:numPr>
            </w:pPr>
            <w:r>
              <w:rPr>
                <w:rStyle w:val="row-content-rich-text"/>
              </w:rPr>
              <w:t xml:space="preserve">The AODTS NMDS reports both main and additional treatment types. Victoria and Western Australia do not differentiate between main and other treatment types. Caution should be used in comparing episodes from these states with other states and territories.</w:t>
            </w:r>
          </w:p>
          <w:p>
            <w:pPr>
              <w:spacing w:after="160"/>
            </w:pPr>
            <w:r>
              <w:rPr>
                <w:rStyle w:val="row-content-rich-text"/>
              </w:rPr>
              <w:t xml:space="preserve">In 2012–13, the AODTS NMDS implemented a statistical linkage key (SLK) for the first time. This linkage key enables the number of clients receiving treatment to be counted. As SLKs may not be available for all treatment episodes imputation is used to estimate the number of individuals in 2012–13 and 2013–14. The rate of invalid SLKs decreased from 12% in 2012–13 to 4% in 2013–14; in 2014–15 no imputation was required. As less imputation is required to account for the missing SLKs, this may affect comparability.</w:t>
            </w:r>
          </w:p>
          <w:p>
            <w:pPr>
              <w:spacing w:after="160"/>
            </w:pPr>
            <w:r>
              <w:rPr>
                <w:rStyle w:val="row-content-rich-text"/>
                <w:b/>
              </w:rPr>
              <w:t xml:space="preserve"> Description </w:t>
            </w:r>
          </w:p>
          <w:p>
            <w:pPr>
              <w:spacing w:after="160"/>
            </w:pPr>
            <w:r>
              <w:rPr>
                <w:rStyle w:val="row-content-rich-text"/>
              </w:rPr>
              <w:t xml:space="preserve">The </w:t>
            </w:r>
            <w:r>
              <w:rPr>
                <w:rStyle w:val="row-content-rich-text"/>
                <w:i/>
              </w:rPr>
              <w:t xml:space="preserve">Australian Institute of Health and Welfare </w:t>
            </w:r>
            <w:r>
              <w:rPr>
                <w:rStyle w:val="row-content-rich-text"/>
              </w:rPr>
              <w:t xml:space="preserve">(AIHW) collects AODTS NMDS data annually on closed episodes of treatment provided to clients of alcohol and other drug treatment services, drugs of concern and the types of treatment received. The AODTS NMDS counts completed treatment episodes provided to clients by in-scope alcohol and other drug treatment services.  This includes all clients who had completed 1 or more treatment episodes at an alcohol and other drug treatment service that was in scope during the period 1 July 2014 to 30 June 2015.</w:t>
            </w:r>
          </w:p>
          <w:p>
            <w:pPr>
              <w:spacing w:after="160"/>
            </w:pPr>
            <w:r>
              <w:rPr>
                <w:rStyle w:val="row-content-rich-text"/>
              </w:rPr>
              <w:t xml:space="preserve">The AODTS NMDS is a collection of data from publicly-funded treatment services in all states and territories, including those directly funded by the Australian Government Department of Health (DoH). Publicly-funded alcohol and other drug treatment agencies collect the agreed data items and forward this information to the appropriate health authority such as state/territory health authority, contracted AOD organisation or the AIHW. Agencies are responsible for ensuring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Australian Institute of Health and Welfare </w:t>
            </w:r>
            <w:r>
              <w:rPr>
                <w:rStyle w:val="row-content-rich-text"/>
              </w:rPr>
              <w:t xml:space="preserve">(AIHW)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13eebb1eba24730">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w:t>
            </w:r>
            <w:r>
              <w:rPr>
                <w:rStyle w:val="row-content-rich-text"/>
                <w:i/>
              </w:rPr>
              <w:t xml:space="preserve">Australian Institute of Health and Welfare </w:t>
            </w:r>
            <w:r>
              <w:rPr>
                <w:rStyle w:val="row-content-rich-text"/>
              </w:rPr>
              <w:t xml:space="preserve">(AIHW)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by alcohol and other drug treatment services on an annual basis. The most recent collection is for the reference period 1 July 2014 to 30 June 2015.</w:t>
            </w:r>
          </w:p>
          <w:p>
            <w:pPr>
              <w:spacing w:after="160"/>
            </w:pPr>
            <w:r>
              <w:rPr>
                <w:rStyle w:val="row-content-rich-text"/>
              </w:rPr>
              <w:t xml:space="preserve">The state and territory health departments and Department of Health funded Non-Government Organisation Treatment Grant Program (NGOTGP) agencies, provide data to the AIHW using the AIHW’s online data validation tool (Validata). For the 2014–15 collection, data were due for submission through the Validata at the end of November 2015 with final approval of all data due at the end of December 2015. This was accomplished by 5 January 2015. The 2014–15 national dataset was finalised by 13 January 2016, two days before the due date.</w:t>
            </w:r>
          </w:p>
          <w:p>
            <w:pPr/>
            <w:r>
              <w:rPr>
                <w:rStyle w:val="row-content-rich-text"/>
              </w:rPr>
              <w:t xml:space="preserve">The first release of data for the 2014-–15 reference period was published on 20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reports</w:t>
            </w:r>
            <w:r>
              <w:rPr>
                <w:rStyle w:val="row-content-rich-text"/>
              </w:rPr>
              <w:t xml:space="preserve">, are available on the AIHW website </w:t>
            </w:r>
            <w:hyperlink w:history="true" r:id="R726d9de1adc949f6">
              <w:r>
                <w:rPr>
                  <w:rStyle w:val="Hyperlink"/>
                </w:rPr>
                <w:t xml:space="preserve"> </w:t>
              </w:r>
            </w:hyperlink>
            <w:hyperlink w:history="true" r:id="Rcdaf47eda44143f8">
              <w:r>
                <w:rPr>
                  <w:rStyle w:val="Hyperlink"/>
                </w:rPr>
                <w:t xml:space="preserve">http://www.aihw.gov.au/alcohol-and-other-drugs-publications</w:t>
              </w:r>
            </w:hyperlink>
            <w:hyperlink w:history="true" r:id="R2ce18503b9d6422c">
              <w:r>
                <w:rPr>
                  <w:rStyle w:val="Hyperlink"/>
                </w:rPr>
                <w:t xml:space="preserv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by contacting the AIHW on (02) 6244 1000, by email to </w:t>
            </w:r>
            <w:hyperlink w:history="true" r:id="R8d38bc1776ee4281">
              <w:r>
                <w:rPr>
                  <w:rStyle w:val="Hyperlink"/>
                </w:rPr>
                <w:t xml:space="preserve">info@aihw.gov.au</w:t>
              </w:r>
            </w:hyperlink>
            <w:r>
              <w:rPr>
                <w:rStyle w:val="row-content-rich-text"/>
              </w:rPr>
              <w:t xml:space="preserve"> </w:t>
            </w:r>
            <w:r>
              <w:rPr>
                <w:rStyle w:val="row-content-rich-text"/>
              </w:rPr>
              <w:t xml:space="preserve"> </w:t>
            </w:r>
            <w:r>
              <w:rPr>
                <w:rStyle w:val="row-content-rich-text"/>
              </w:rPr>
              <w:t xml:space="preserve">or through AIHW’s custom data request service at </w:t>
            </w:r>
            <w:hyperlink w:history="true" r:id="R689e195502ad4b07">
              <w:r>
                <w:rPr>
                  <w:rStyle w:val="Hyperlink"/>
                </w:rPr>
                <w:t xml:space="preserve">www.aihw.gov.au/custom-data-request-service</w:t>
              </w:r>
            </w:hyperlink>
            <w:r>
              <w:rPr>
                <w:rStyle w:val="row-content-rich-text"/>
              </w:rPr>
              <w:t xml:space="preserve">. 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Alcohol and other drug treatment services in Australia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169f869f75cd42e1">
              <w:r>
                <w:rPr>
                  <w:rStyle w:val="Hyperlink"/>
                </w:rPr>
                <w:t xml:space="preserve">/content/index.phtml/itemId/583090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 Data are collected for the financial year 2014–15.</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 Information on services provided by these agencies is collected in the National Opioid Pharmacotherapy Statistical Annual Data (NOPSAD) collection).</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The number of agencies reporting to the AODTS NMDS increased from 796 in 2013–14 to 843 in 2014–15. Jurisdictions were requested to provide information on the coverage of in–scope agencies in the data information document that accompanied their data submission. Based on the information supplied, approximately 96% of in–scope agencies nationally submitted data to the collection. There was a large decrease in the number of in–scope agencies reporting for New South Wales (–8%) and Tasmania (–14%).</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 code based on selected letters of their name.</w:t>
            </w:r>
          </w:p>
          <w:p>
            <w:pPr/>
            <w:r>
              <w:rPr>
                <w:rStyle w:val="row-content-rich-text"/>
              </w:rPr>
              <w:t xml:space="preserve">In the 2012–13 and 2013–14 collection cycles, SLK data were not available for all clients; an imputation strategy was developed to adjust the data to account for this. Imputation was not required for the 2014–15 collection period, due to high rates of valid SLKs.  Further information about the imputation methodology applied to these data can be found online as part of the release of the </w:t>
            </w:r>
            <w:r>
              <w:rPr>
                <w:rStyle w:val="row-content-rich-text"/>
                <w:i/>
              </w:rPr>
              <w:t xml:space="preserve">Alcohol and other drug treatment services in Australia 2014–15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2005–06 are used in this report to present a 10 year trend series.</w:t>
            </w:r>
          </w:p>
          <w:p>
            <w:pPr>
              <w:spacing w:after="160"/>
            </w:pPr>
            <w:r>
              <w:rPr>
                <w:rStyle w:val="row-content-rich-text"/>
              </w:rPr>
              <w:t xml:space="preserve">The number of closed treatment episodes decreased from 180,783 in 2013–14 to 170,367 in 2014–15. Victoria reported an overall decrease of approximately 10,537 treatment episodes and New South Wales reported a decrease of 6,119 treatment episodes between 2013–14 and 2014–15.</w:t>
            </w:r>
          </w:p>
          <w:p>
            <w:pPr>
              <w:spacing w:after="160"/>
            </w:pPr>
            <w:r>
              <w:rPr>
                <w:rStyle w:val="row-content-rich-text"/>
              </w:rPr>
              <w:t xml:space="preserve">Approximately 96% of in-scope treatment services submitted data to the AODTS NMDS in 2014–15. Four jurisdictions submitted 100% of in-scope treatment services except for New South Wales (92%), Victoria (98.6%), Tasmania (86.4%) and Northern Territory (94.7%). In NSW, 25 in-scope agencies did not report in 2014–15, these agencies account for around one-third of the overall decrease of 6,119 episodes in 2014–15.</w:t>
            </w:r>
          </w:p>
          <w:p>
            <w:pPr>
              <w:spacing w:after="160"/>
            </w:pPr>
            <w:r>
              <w:rPr>
                <w:rStyle w:val="row-content-rich-text"/>
              </w:rPr>
              <w:t xml:space="preserve">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2014–15 is good. For most data elements, less than 2% of records have missing data (including not stated or unknown responses) while less than 2% of records have an invalid SLK. Around 6% of records have an unknown Indigenous status. Of the records relating to episodes provided to clients receiving treatment for their own drug use, reason for cessation is not available for 4%, method of drug use is not available for 7% and injecting drug use status is not available for 15%.</w:t>
            </w:r>
          </w:p>
          <w:p>
            <w:pPr>
              <w:spacing w:after="160"/>
            </w:pPr>
            <w:r>
              <w:rPr>
                <w:rStyle w:val="row-content-rich-text"/>
              </w:rPr>
              <w:t xml:space="preserve"> </w:t>
            </w:r>
            <w:r>
              <w:rPr>
                <w:rStyle w:val="row-content-rich-text"/>
                <w:b/>
              </w:rPr>
              <w:t xml:space="preserve">Not stated/unknown responses for data items, nationally, 2012–13 to 2014–15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 </w:t>
                  </w:r>
                  <w:r>
                    <w:rPr>
                      <w:rStyle w:val="row-content-rich-text"/>
                      <w:b/>
                    </w:rPr>
                    <w:t xml:space="preserve">Data item</w:t>
                  </w:r>
                </w:p>
              </w:tc>
              <w:tc>
                <w:tcPr>
                  <w:tcW w:w="800" w:type="pct"/>
                  <w:vAlign w:val="top"/>
                </w:tcPr>
                <w:p>
                  <w:r>
                    <w:rPr>
                      <w:b/>
                    </w:rPr>
                    <w:t xml:space="preserve">2012–13</w:t>
                  </w:r>
                </w:p>
              </w:tc>
              <w:tc>
                <w:tcPr>
                  <w:tcW w:w="800" w:type="pct"/>
                  <w:vAlign w:val="top"/>
                </w:tcPr>
                <w:p>
                  <w:r>
                    <w:rPr>
                      <w:b/>
                    </w:rPr>
                    <w:t xml:space="preserve">2013–14</w:t>
                  </w:r>
                </w:p>
              </w:tc>
              <w:tc>
                <w:tcPr>
                  <w:tcW w:w="850" w:type="pct"/>
                  <w:vAlign w:val="top"/>
                </w:tcPr>
                <w:p>
                  <w:r>
                    <w:rPr>
                      <w:b/>
                    </w:rPr>
                    <w:t xml:space="preserve">2014–15</w:t>
                  </w:r>
                </w:p>
              </w:tc>
            </w:tr>
            <w:tr>
              <w:trPr/>
              <w:tc>
                <w:tcPr>
                  <w:tcW w:w="2500" w:type="pct"/>
                  <w:vAlign w:val="top"/>
                </w:tcPr>
                <w:p>
                  <w:r>
                    <w:rPr>
                      <w:b/>
                    </w:rPr>
                    <w:t xml:space="preserve">Client data items</w:t>
                  </w:r>
                  <w:r>
                    <w:t xml:space="preserve"> </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Client type </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Country of birth </w:t>
                  </w:r>
                </w:p>
              </w:tc>
              <w:tc>
                <w:tcPr>
                  <w:tcW w:w="800" w:type="pct"/>
                  <w:vAlign w:val="top"/>
                </w:tcPr>
                <w:p>
                  <w:r>
                    <w:t xml:space="preserve">1.8</w:t>
                  </w:r>
                </w:p>
              </w:tc>
              <w:tc>
                <w:tcPr>
                  <w:tcW w:w="800" w:type="pct"/>
                  <w:vAlign w:val="top"/>
                </w:tcPr>
                <w:p>
                  <w:r>
                    <w:t xml:space="preserve">1.9</w:t>
                  </w:r>
                </w:p>
              </w:tc>
              <w:tc>
                <w:tcPr>
                  <w:tcW w:w="850" w:type="pct"/>
                  <w:vAlign w:val="top"/>
                </w:tcPr>
                <w:p>
                  <w:r>
                    <w:t xml:space="preserve">1.5</w:t>
                  </w:r>
                </w:p>
              </w:tc>
            </w:tr>
            <w:tr>
              <w:trPr/>
              <w:tc>
                <w:tcPr>
                  <w:tcW w:w="2500" w:type="pct"/>
                  <w:vAlign w:val="top"/>
                </w:tcPr>
                <w:p>
                  <w:r>
                    <w:t xml:space="preserve">Date of birth/age </w:t>
                  </w:r>
                </w:p>
              </w:tc>
              <w:tc>
                <w:tcPr>
                  <w:tcW w:w="800" w:type="pct"/>
                  <w:vAlign w:val="top"/>
                </w:tcPr>
                <w:p>
                  <w:r>
                    <w:t xml:space="preserve">0.0</w:t>
                  </w:r>
                </w:p>
              </w:tc>
              <w:tc>
                <w:tcPr>
                  <w:tcW w:w="800" w:type="pct"/>
                  <w:vAlign w:val="top"/>
                </w:tcPr>
                <w:p>
                  <w:r>
                    <w:t xml:space="preserve">0.0</w:t>
                  </w:r>
                </w:p>
              </w:tc>
              <w:tc>
                <w:tcPr>
                  <w:tcW w:w="850" w:type="pct"/>
                  <w:vAlign w:val="top"/>
                </w:tcPr>
                <w:p>
                  <w:r>
                    <w:t xml:space="preserve">0.0</w:t>
                  </w:r>
                </w:p>
              </w:tc>
            </w:tr>
            <w:tr>
              <w:trPr/>
              <w:tc>
                <w:tcPr>
                  <w:tcW w:w="2500" w:type="pct"/>
                  <w:vAlign w:val="top"/>
                </w:tcPr>
                <w:p>
                  <w:r>
                    <w:t xml:space="preserve">Indigenous status </w:t>
                  </w:r>
                </w:p>
              </w:tc>
              <w:tc>
                <w:tcPr>
                  <w:tcW w:w="800" w:type="pct"/>
                  <w:vAlign w:val="top"/>
                </w:tcPr>
                <w:p>
                  <w:r>
                    <w:t xml:space="preserve">5.9</w:t>
                  </w:r>
                </w:p>
              </w:tc>
              <w:tc>
                <w:tcPr>
                  <w:tcW w:w="800" w:type="pct"/>
                  <w:vAlign w:val="top"/>
                </w:tcPr>
                <w:p>
                  <w:r>
                    <w:t xml:space="preserve">5.4</w:t>
                  </w:r>
                </w:p>
              </w:tc>
              <w:tc>
                <w:tcPr>
                  <w:tcW w:w="850" w:type="pct"/>
                  <w:vAlign w:val="top"/>
                </w:tcPr>
                <w:p>
                  <w:r>
                    <w:t xml:space="preserve">5.8</w:t>
                  </w:r>
                </w:p>
              </w:tc>
            </w:tr>
            <w:tr>
              <w:trPr/>
              <w:tc>
                <w:tcPr>
                  <w:tcW w:w="2500" w:type="pct"/>
                  <w:vAlign w:val="top"/>
                </w:tcPr>
                <w:p>
                  <w:r>
                    <w:t xml:space="preserve">Preferred language </w:t>
                  </w:r>
                </w:p>
              </w:tc>
              <w:tc>
                <w:tcPr>
                  <w:tcW w:w="800" w:type="pct"/>
                  <w:vAlign w:val="top"/>
                </w:tcPr>
                <w:p>
                  <w:r>
                    <w:t xml:space="preserve">1.9</w:t>
                  </w:r>
                </w:p>
              </w:tc>
              <w:tc>
                <w:tcPr>
                  <w:tcW w:w="800" w:type="pct"/>
                  <w:vAlign w:val="top"/>
                </w:tcPr>
                <w:p>
                  <w:r>
                    <w:t xml:space="preserve">2.1</w:t>
                  </w:r>
                </w:p>
              </w:tc>
              <w:tc>
                <w:tcPr>
                  <w:tcW w:w="850" w:type="pct"/>
                  <w:vAlign w:val="top"/>
                </w:tcPr>
                <w:p>
                  <w:r>
                    <w:t xml:space="preserve">2.1</w:t>
                  </w:r>
                </w:p>
              </w:tc>
            </w:tr>
            <w:tr>
              <w:trPr/>
              <w:tc>
                <w:tcPr>
                  <w:tcW w:w="2500" w:type="pct"/>
                  <w:vAlign w:val="top"/>
                </w:tcPr>
                <w:p>
                  <w:r>
                    <w:t xml:space="preserve">Sex </w:t>
                  </w:r>
                </w:p>
              </w:tc>
              <w:tc>
                <w:tcPr>
                  <w:tcW w:w="800" w:type="pct"/>
                  <w:vAlign w:val="top"/>
                </w:tcPr>
                <w:p>
                  <w:r>
                    <w:t xml:space="preserve">0.7</w:t>
                  </w:r>
                </w:p>
              </w:tc>
              <w:tc>
                <w:tcPr>
                  <w:tcW w:w="800" w:type="pct"/>
                  <w:vAlign w:val="top"/>
                </w:tcPr>
                <w:p>
                  <w:r>
                    <w:t xml:space="preserve">0.1</w:t>
                  </w:r>
                </w:p>
              </w:tc>
              <w:tc>
                <w:tcPr>
                  <w:tcW w:w="850" w:type="pct"/>
                  <w:vAlign w:val="top"/>
                </w:tcPr>
                <w:p>
                  <w:r>
                    <w:t xml:space="preserve">0.1</w:t>
                  </w:r>
                </w:p>
              </w:tc>
            </w:tr>
            <w:tr>
              <w:trPr/>
              <w:tc>
                <w:tcPr>
                  <w:tcW w:w="2500" w:type="pct"/>
                  <w:vAlign w:val="top"/>
                </w:tcPr>
                <w:p>
                  <w:r>
                    <w:t xml:space="preserve">Source of referral </w:t>
                  </w:r>
                </w:p>
              </w:tc>
              <w:tc>
                <w:tcPr>
                  <w:tcW w:w="800" w:type="pct"/>
                  <w:vAlign w:val="top"/>
                </w:tcPr>
                <w:p>
                  <w:r>
                    <w:t xml:space="preserve">1.6</w:t>
                  </w:r>
                </w:p>
              </w:tc>
              <w:tc>
                <w:tcPr>
                  <w:tcW w:w="800" w:type="pct"/>
                  <w:vAlign w:val="top"/>
                </w:tcPr>
                <w:p>
                  <w:r>
                    <w:t xml:space="preserve">1.3</w:t>
                  </w:r>
                </w:p>
              </w:tc>
              <w:tc>
                <w:tcPr>
                  <w:tcW w:w="850" w:type="pct"/>
                  <w:vAlign w:val="top"/>
                </w:tcPr>
                <w:p>
                  <w:r>
                    <w:t xml:space="preserve">1.5</w:t>
                  </w:r>
                </w:p>
              </w:tc>
            </w:tr>
            <w:tr>
              <w:trPr/>
              <w:tc>
                <w:tcPr>
                  <w:tcW w:w="2500" w:type="pct"/>
                  <w:vAlign w:val="top"/>
                </w:tcPr>
                <w:p>
                  <w:r>
                    <w:rPr>
                      <w:b/>
                    </w:rPr>
                    <w:t xml:space="preserve">Drug data items</w:t>
                  </w:r>
                  <w:r>
                    <w:t xml:space="preserve"> </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Principal drug of concern </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Injecting drug use*</w:t>
                  </w:r>
                </w:p>
              </w:tc>
              <w:tc>
                <w:tcPr>
                  <w:tcW w:w="800" w:type="pct"/>
                  <w:vAlign w:val="top"/>
                </w:tcPr>
                <w:p>
                  <w:r>
                    <w:t xml:space="preserve">15.7</w:t>
                  </w:r>
                </w:p>
              </w:tc>
              <w:tc>
                <w:tcPr>
                  <w:tcW w:w="800" w:type="pct"/>
                  <w:vAlign w:val="top"/>
                </w:tcPr>
                <w:p>
                  <w:r>
                    <w:t xml:space="preserve">15.4</w:t>
                  </w:r>
                </w:p>
              </w:tc>
              <w:tc>
                <w:tcPr>
                  <w:tcW w:w="850" w:type="pct"/>
                  <w:vAlign w:val="top"/>
                </w:tcPr>
                <w:p>
                  <w:r>
                    <w:t xml:space="preserve">15.4</w:t>
                  </w:r>
                </w:p>
              </w:tc>
            </w:tr>
            <w:tr>
              <w:trPr/>
              <w:tc>
                <w:tcPr>
                  <w:tcW w:w="2500" w:type="pct"/>
                  <w:vAlign w:val="top"/>
                </w:tcPr>
                <w:p>
                  <w:r>
                    <w:t xml:space="preserve">Method of use* </w:t>
                  </w:r>
                </w:p>
              </w:tc>
              <w:tc>
                <w:tcPr>
                  <w:tcW w:w="800" w:type="pct"/>
                  <w:vAlign w:val="top"/>
                </w:tcPr>
                <w:p>
                  <w:r>
                    <w:t xml:space="preserve">6.0</w:t>
                  </w:r>
                </w:p>
              </w:tc>
              <w:tc>
                <w:tcPr>
                  <w:tcW w:w="800" w:type="pct"/>
                  <w:vAlign w:val="top"/>
                </w:tcPr>
                <w:p>
                  <w:r>
                    <w:t xml:space="preserve">7.6</w:t>
                  </w:r>
                </w:p>
              </w:tc>
              <w:tc>
                <w:tcPr>
                  <w:tcW w:w="850" w:type="pct"/>
                  <w:vAlign w:val="top"/>
                </w:tcPr>
                <w:p>
                  <w:r>
                    <w:t xml:space="preserve">7.4</w:t>
                  </w:r>
                </w:p>
              </w:tc>
            </w:tr>
            <w:tr>
              <w:trPr/>
              <w:tc>
                <w:tcPr>
                  <w:tcW w:w="2500" w:type="pct"/>
                  <w:vAlign w:val="top"/>
                </w:tcPr>
                <w:p>
                  <w:r>
                    <w:rPr>
                      <w:b/>
                    </w:rPr>
                    <w:t xml:space="preserve">Treatment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Main treatment type </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Reason for cessation </w:t>
                  </w:r>
                </w:p>
              </w:tc>
              <w:tc>
                <w:tcPr>
                  <w:tcW w:w="800" w:type="pct"/>
                  <w:vAlign w:val="top"/>
                </w:tcPr>
                <w:p>
                  <w:r>
                    <w:t xml:space="preserve">4.0</w:t>
                  </w:r>
                </w:p>
              </w:tc>
              <w:tc>
                <w:tcPr>
                  <w:tcW w:w="800" w:type="pct"/>
                  <w:vAlign w:val="top"/>
                </w:tcPr>
                <w:p>
                  <w:r>
                    <w:t xml:space="preserve">4.0</w:t>
                  </w:r>
                </w:p>
              </w:tc>
              <w:tc>
                <w:tcPr>
                  <w:tcW w:w="850" w:type="pct"/>
                  <w:vAlign w:val="top"/>
                </w:tcPr>
                <w:p>
                  <w:r>
                    <w:t xml:space="preserve">4.4</w:t>
                  </w:r>
                </w:p>
              </w:tc>
            </w:tr>
            <w:tr>
              <w:trPr/>
              <w:tc>
                <w:tcPr>
                  <w:tcW w:w="2500" w:type="pct"/>
                  <w:vAlign w:val="top"/>
                </w:tcPr>
                <w:p>
                  <w:r>
                    <w:rPr>
                      <w:i/>
                    </w:rPr>
                    <w:t xml:space="preserve">(mandatory)</w:t>
                  </w:r>
                  <w:r>
                    <w:t xml:space="preserve">Treatment delivery setting </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r>
                    <w:rPr>
                      <w:b/>
                    </w:rPr>
                    <w:t xml:space="preserve"> </w:t>
                  </w:r>
                </w:p>
              </w:tc>
            </w:tr>
          </w:tbl>
          <w:p>
            <w:r>
              <w:t xml:space="preserve">. .</w:t>
            </w:r>
            <w:r>
              <w:t xml:space="preserve"> </w:t>
            </w:r>
            <w:r>
              <w:t xml:space="preserve">not applicable (the data item does not apply)</w:t>
            </w:r>
          </w:p>
          <w:p>
            <w:r>
              <w:t xml:space="preserve">*</w:t>
            </w:r>
            <w:r>
              <w:t xml:space="preserve">   </w:t>
            </w:r>
            <w:r>
              <w:t xml:space="preserve">Proportion calculated using the number of closed episodes where the client was receiving treatment for their own drug use.</w:t>
            </w:r>
          </w:p>
          <w:p>
            <w:r>
              <w:t xml:space="preserve"> </w:t>
            </w:r>
          </w:p>
          <w:p>
            <w:r>
              <w:t xml:space="preserve">For the 2012–13 and 2013–14 collection periods, SLK data was not available for all clients; an imputation strategy was developed to adjust the data to account for this. The resulting number of clients for these periods is reliant on the assumptions made in the imputation. In 2014–15 imputation was not required. Further information about the imputation methodology can be found online in the </w:t>
            </w:r>
            <w:r>
              <w:rPr>
                <w:i/>
              </w:rPr>
              <w:t xml:space="preserve">Alcohol and other drug treatment services in Australia 2014–15 report</w:t>
            </w:r>
            <w:r>
              <w:t xml:space="preserve">.</w:t>
            </w:r>
          </w:p>
          <w:p>
            <w:r>
              <w:t xml:space="preserve">Not all jurisdictions code drug of concern using the full</w:t>
            </w:r>
            <w:r>
              <w:rPr>
                <w:i/>
              </w:rPr>
              <w:t xml:space="preserve"> 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2014–15 approximately 6% of records had a missing postcode, ranging from zero in Western Australia to 19% in New South Wales.</w:t>
            </w:r>
          </w:p>
          <w:p>
            <w:r>
              <w:rPr>
                <w:b/>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currently a number of data collection systems in use and development. The New South Wales Minimum Data Set is collected by these systems from which the collection of the AODTS NMDS is provided. New South Wales has developed a Drug and Alcohol State Baseline Build Information System for use by government agencies. During the 2014–15 collection cycle, a number of NSW Local Health Districts (LHDs) migrated to this system.</w:t>
            </w:r>
          </w:p>
          <w:p>
            <w:r>
              <w:t xml:space="preserve">This process began in 2014–15 and will continue until the first half of 2016–17 for most agencies. Agencies are moving from one or a number of legacy systems. There has been difficulty reporting data due to the ongoing development and testing of extracts. Therefore the data in NSW has been under reported for 2014–15 . It is expected that the problems will continue for the remainder of 2016 but the extracting and reporting of data will improve. Note that not all NSW government agencies (&amp; LHDs) will migrate to the new system. The majority of NGO data are collected via the NADA (Network of Alcohol and other Drug Agencies) online system. NADA is the peak organisation for the non–government drug and alcohol sector in New South Wales.</w:t>
            </w:r>
          </w:p>
          <w:p>
            <w:r>
              <w:rPr>
                <w:b/>
              </w:rPr>
              <w:t xml:space="preserve">Victoria</w:t>
            </w:r>
          </w:p>
          <w:p>
            <w:r>
              <w:t xml:space="preserve">In September 2014, a range of reforms were introduced to the Victorian Alcohol and Other Drug Treatment Sector to establish a much more integrated and high-performing alcohol and drug system. Reform was achieved by recommissioning existing service providers; remodelling existing key service types; introducing new funding arrangements; and streamlining the configuration of current service delivery activities and responsibilities.</w:t>
            </w:r>
          </w:p>
          <w:p>
            <w:r>
              <w:t xml:space="preserve">The goals of Reform were to achieve:</w:t>
            </w:r>
          </w:p>
          <w:p>
            <w:pPr>
              <w:pStyle w:val="ListParagraph"/>
              <w:numPr>
                <w:ilvl w:val="0"/>
                <w:numId w:val="7"/>
              </w:numPr>
            </w:pPr>
            <w:r>
              <w:t xml:space="preserve">greater responsiveness to changing drug use patterns and community need </w:t>
            </w:r>
          </w:p>
          <w:p>
            <w:pPr>
              <w:pStyle w:val="ListParagraph"/>
              <w:numPr>
                <w:ilvl w:val="0"/>
                <w:numId w:val="7"/>
              </w:numPr>
            </w:pPr>
            <w:r>
              <w:t xml:space="preserve">increased collaboration between alcohol and drug treatment providers and other health and welfare service providers </w:t>
            </w:r>
          </w:p>
          <w:p>
            <w:pPr>
              <w:pStyle w:val="ListParagraph"/>
              <w:numPr>
                <w:ilvl w:val="0"/>
                <w:numId w:val="7"/>
              </w:numPr>
            </w:pPr>
            <w:r>
              <w:t xml:space="preserve">consistent approaches to intake, assessment and treatment provision state-wide </w:t>
            </w:r>
          </w:p>
          <w:p>
            <w:pPr>
              <w:pStyle w:val="ListParagraph"/>
              <w:numPr>
                <w:ilvl w:val="0"/>
                <w:numId w:val="7"/>
              </w:numPr>
            </w:pPr>
            <w:r>
              <w:t xml:space="preserve">local area based systems for service planning and treatment delivery, and; </w:t>
            </w:r>
          </w:p>
          <w:p>
            <w:pPr>
              <w:pStyle w:val="ListParagraph"/>
              <w:numPr>
                <w:ilvl w:val="0"/>
                <w:numId w:val="7"/>
              </w:numPr>
            </w:pPr>
            <w:r>
              <w:t xml:space="preserve">flexible, activity based funding that supports the equitable distribution of resources across Victoria.</w:t>
            </w:r>
          </w:p>
          <w:p>
            <w:r>
              <w:t xml:space="preserve">To provide better operations in the reformed environment, a number of the larger service providers developed and implemented their own in-house Client Management Systems thus lessening their dependence on the legacy SWITCH or FULLADIS information systems. Hospitals and community health centres however continued to use the HealthSMART client management system to report on alcohol and other drug treatment activity.</w:t>
            </w:r>
          </w:p>
          <w:p>
            <w:r>
              <w:t xml:space="preserve">The key deliverable for reformed activity in Victoria is the Drug Treatment Activity Unit (DTAU), based on the number of closed Courses of Treatment. </w:t>
            </w:r>
          </w:p>
          <w:p>
            <w:r>
              <w:t xml:space="preserve">For unreformed services the deliverable is Episode of Care. Agencies funded to provide drug treatment services in Victoria have service provision targets, which are defined in terms of number of episodes of care or DTAUs to be provided, by service type and by target group (for example, youth or adult). As a requirement of their funding agreement with the Victorian Department of Health &amp; Human Services, agencies are required to submit data quarterly detailing their provision of drug treatment services and achievement of episodes of care. A subset of this data is contributed to the AODTS NMDS annually.</w:t>
            </w:r>
          </w:p>
          <w:p>
            <w:r>
              <w:t xml:space="preserve">Note that the reduction in Victorian Alcohol and Other Drug Treatment activity is evident in the AODTS NMDS, when compared to 2013–14; this is associated with service system reform during 2014–15.</w:t>
            </w:r>
          </w:p>
          <w:p>
            <w:r>
              <w:t xml:space="preserve">Also 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t xml:space="preserve">Victoria only provides information about non–government agencies that receive public funding. </w:t>
            </w:r>
          </w:p>
          <w:p>
            <w:r>
              <w:rPr>
                <w:b/>
              </w:rPr>
              <w:t xml:space="preserve">Queensland  </w:t>
            </w:r>
          </w:p>
          <w:p>
            <w:r>
              <w:t xml:space="preserve">Queensland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r>
              <w:t xml:space="preserve">Queensland Health has a state-wide web-based clinical information management system supporting the collection of AODTS NMDS items for all Queensland Government alcohol and other drug treatment services.</w:t>
            </w:r>
          </w:p>
          <w:p>
            <w:r>
              <w:t xml:space="preserve">Since 2007, Queensland Health has funded the</w:t>
            </w:r>
            <w:r>
              <w:rPr>
                <w:i/>
              </w:rPr>
              <w:t xml:space="preserve"> Queensland Network of Alcohol and Drug Agencies Ltd (QNADA</w:t>
            </w:r>
            <w:r>
              <w:t xml:space="preserve">)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 </w:t>
            </w:r>
          </w:p>
          <w:p>
            <w:r>
              <w:rPr>
                <w:b/>
              </w:rPr>
              <w:t xml:space="preserve">Western Australia </w:t>
            </w:r>
          </w:p>
          <w:p>
            <w:r>
              <w:t xml:space="preserve">Data are provided by both government and non–government sectors. Non–government services were contracted by the </w:t>
            </w:r>
            <w:r>
              <w:rPr>
                <w:i/>
              </w:rPr>
              <w:t xml:space="preserve">Drug and Alcohol Office (DAO), </w:t>
            </w:r>
            <w:r>
              <w:t xml:space="preserve">now named the Mental Health Commission, to provide alcohol and other drug services. They have contractual obligations to incorporate the data elements of the AODTS NMDS in their collections. They are also obliged to provide data in a regular and timely manner to DAO. These data items are collated and checked by DAO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r>
              <w:rPr>
                <w:b/>
              </w:rPr>
              <w:t xml:space="preserve">South Australia </w:t>
            </w:r>
          </w:p>
          <w:p>
            <w:r>
              <w:t xml:space="preserve">Data are provided by government </w:t>
            </w:r>
            <w:r>
              <w:rPr>
                <w:i/>
              </w:rPr>
              <w:t xml:space="preserve">Drug and Alcohol Services South Australia </w:t>
            </w:r>
            <w:r>
              <w:t xml:space="preserve">(DASSA) and non-government alcohol and other drug treatment services.</w:t>
            </w:r>
          </w:p>
          <w:p>
            <w: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r>
              <w:rPr>
                <w:b/>
              </w:rPr>
              <w:t xml:space="preserve">Tasmania </w:t>
            </w:r>
          </w:p>
          <w:p>
            <w:r>
              <w:t xml:space="preserve">Tasmania’s illicit drug diversion treatment data are managed and extracted from the </w:t>
            </w:r>
            <w:r>
              <w:rPr>
                <w:i/>
              </w:rPr>
              <w:t xml:space="preserve">Drug Offence Reporting System </w:t>
            </w:r>
            <w:r>
              <w:t xml:space="preserve">(DORS). This system resides with Tasmania Police. A high proportion of treatment episodes in Tasmania with the principal drug of concern of cannabis can be attributed largely to the inclusion of this data.</w:t>
            </w:r>
          </w:p>
          <w:p>
            <w:r>
              <w:t xml:space="preserve">Training in culturally sensitive practice has been provided for service providers across the Tasmanian alcohol and other drug service sector. Despite this, Tasmanian data reporting for Indigenous status still remains low.</w:t>
            </w:r>
          </w:p>
          <w:p>
            <w:r>
              <w:t xml:space="preserve">NGOs funded by the Tasmanian Government provide AODTS NMDS and key performance indicator data under the provisions of a service agreement. AODTS NMDS data are submitted to </w:t>
            </w:r>
            <w:r>
              <w:rPr>
                <w:i/>
              </w:rPr>
              <w:t xml:space="preserve">Alcohol and Drug Service State Office </w:t>
            </w:r>
            <w:r>
              <w:t xml:space="preserve">on either a 6-monthly or yearly basis. Data quality reports are fed back to the NGOs and training/information on data capture practices are provided as required.</w:t>
            </w:r>
          </w:p>
          <w:p>
            <w:r>
              <w:rPr>
                <w:b/>
              </w:rPr>
              <w:t xml:space="preserve">Australian Capital Territory </w:t>
            </w:r>
          </w:p>
          <w:p>
            <w:r>
              <w:t xml:space="preserve">Australian Capital Territory alcohol and other drug treatment service providers supply </w:t>
            </w:r>
            <w:r>
              <w:rPr>
                <w:i/>
              </w:rPr>
              <w:t xml:space="preserve">ACT Health </w:t>
            </w:r>
            <w:r>
              <w:t xml:space="preserve">with their complete data collection for the AODTS NMDS by 31 August each financial year.  The services use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Summary statistical reports are sent to all agencies every 6 months detailing client activity for the previous 12 months.</w:t>
            </w:r>
          </w:p>
          <w:p>
            <w:r>
              <w:t xml:space="preserve"> </w:t>
            </w:r>
          </w:p>
          <w:p>
            <w:r>
              <w:rPr>
                <w:b/>
              </w:rPr>
              <w:t xml:space="preserve">Australian Government Department of Health (DoH) </w:t>
            </w:r>
          </w:p>
          <w:p>
            <w:r>
              <w:t xml:space="preserve">DoH funds a number of alcohol and other drug treatment services under the </w:t>
            </w:r>
            <w:r>
              <w:rPr>
                <w:i/>
              </w:rPr>
              <w:t xml:space="preserve">National Illicit Drug Strategy Non-Government Organisation Treatment Grants Program </w:t>
            </w:r>
            <w:r>
              <w:t xml:space="preserve">(NGOTGP).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the </w:t>
            </w:r>
            <w:r>
              <w:rPr>
                <w:i/>
              </w:rPr>
              <w:t xml:space="preserve">Department of Health</w:t>
            </w:r>
            <w:r>
              <w:t xml:space="preserve">.</w:t>
            </w:r>
          </w:p>
          <w:p>
            <w:r>
              <w:t xml:space="preserve">Reported numbers for each state and territory in the AODTS NMDS annual report include services provided under the </w:t>
            </w:r>
            <w:r>
              <w:rPr>
                <w:i/>
              </w:rPr>
              <w:t xml:space="preserve">National Illicit Drug Strategy, NGOTGP</w:t>
            </w:r>
            <w:r>
              <w:t xml:space="preserve">.</w:t>
            </w:r>
          </w:p>
          <w:p>
            <w:r>
              <w:t xml:space="preserve">To ensure consistency with previous years’ data, where an organisation’s sub-agencies had been given more than 1 establishment identifier, those identifiers were used and so sub-agencies were counted as separate agencies. Where an organisation’s sub-agencies had been given 1 establishment identifier, only the single establishment identifier was used, and these sub-agencies were counted as 1 agency.</w:t>
            </w:r>
          </w:p>
          <w:p>
            <w:r>
              <w:t xml:space="preserve">From 2012–13 onwards, the AIHW collected the data on behalf of a number of state and territory NGOTGP agencies, that were funded directly by the Commonwealth, for collation and reporting to the AODTS NMDS. The 2012–13 collection period was the first year NGOTGP data were processed by the AIHW.</w:t>
            </w:r>
          </w:p>
          <w:p>
            <w:r>
              <w:t xml:space="preserve">In 2015, the agreed Schedule between the AIHW and the DoH required the AIHW to collect NGOTGP data on behalf of the DoH. The agreement stated that the AIHW would validate, aggregate and report on standardised data annually from Australian, state and territory NGOTGP, and finalise data from the NGOTGPs for inclusion in the national AODTS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 </w:t>
            </w:r>
            <w:r>
              <w:rPr>
                <w:rStyle w:val="row-content-rich-text"/>
              </w:rPr>
              <w:t xml:space="preserve">(ASGC) to be replaced by a new classification scheme: the </w:t>
            </w:r>
            <w:r>
              <w:rPr>
                <w:rStyle w:val="row-content-rich-text"/>
                <w:i/>
              </w:rPr>
              <w:t xml:space="preserve">Australian Statistical Geography Standard </w:t>
            </w:r>
            <w:r>
              <w:rPr>
                <w:rStyle w:val="row-content-rich-text"/>
              </w:rPr>
              <w:t xml:space="preserve">(ASGS). Also updated at this time were remoteness areas based on the 2011 ABS Census of Population and Housing. From the 2012–13 AODTS NMDS collection onwards: the new Statistical area level 2 (SA2) replaced the ASGC for Geographical location of service delivery outlet. The geographical scheme (ASGS 2011) is collected using the element Statistical area level 2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In 2011, the ABS updated the </w:t>
            </w:r>
            <w:r>
              <w:rPr>
                <w:rStyle w:val="row-content-rich-text"/>
                <w:i/>
              </w:rPr>
              <w:t xml:space="preserve">Australian Standard Classification of Drug of concern</w:t>
            </w:r>
            <w:r>
              <w:rPr>
                <w:rStyle w:val="row-content-rich-text"/>
              </w:rPr>
              <w:t xml:space="preserve">, which was first released in 2000. The updated version incorporates newer psychoactive substances; most notably there is a new category for ‘cannabinoid agonists’.</w:t>
            </w:r>
          </w:p>
          <w:p>
            <w:pPr>
              <w:spacing w:after="160"/>
            </w:pP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w:t>
            </w:r>
          </w:p>
          <w:p>
            <w:pPr>
              <w:spacing w:after="160"/>
            </w:pPr>
            <w:r>
              <w:rPr>
                <w:rStyle w:val="row-content-rich-text"/>
              </w:rPr>
              <w:t xml:space="preserve">Preferred language was updated for the 2012–13 collection period to use </w:t>
            </w:r>
            <w:r>
              <w:rPr>
                <w:rStyle w:val="row-content-rich-text"/>
                <w:i/>
              </w:rPr>
              <w:t xml:space="preserve">Australian Standard Classification of Languages </w:t>
            </w:r>
            <w:r>
              <w:rPr>
                <w:rStyle w:val="row-content-rich-text"/>
              </w:rPr>
              <w:t xml:space="preserve">(ASCL), 2011.</w:t>
            </w:r>
          </w:p>
          <w:p>
            <w:pPr>
              <w:spacing w:after="160"/>
            </w:pPr>
            <w:r>
              <w:rPr>
                <w:rStyle w:val="row-content-rich-text"/>
              </w:rPr>
              <w:t xml:space="preserve">The number of closed treatment episodes decreased from 180,783 in 2013–14 to 170,367 in 2014–15. Victoria reported an overall decrease of approximately 10,537 treatment episodes and New South Wales reported a decrease of 6,119 treatment episodes between 2013–14 and 2014–15. The rate of invalid SLKs decreased from 12% in 2012–13 to 4% in 2013–14; in 2014–15 no imputation was required. As less imputation is required to account for the missing SLKs, this may affect comparability.</w:t>
            </w:r>
          </w:p>
          <w:p>
            <w:pPr>
              <w:spacing w:after="160"/>
            </w:pPr>
            <w:r>
              <w:rPr>
                <w:rStyle w:val="row-content-rich-text"/>
              </w:rPr>
              <w:t xml:space="preserve">Victoria does not differentiate between main and other treatment types. Caution should be used in comparing Victorian episodes with those of other states and territories.  Data for Victoria are not directly comparable with data for other jurisdictions because every treatment type provided is reported as a separate episode.</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Data for Western Australia are therefore not directly comparable with data for other jurisdictions because every treatment type provided is reported as a separate episode.</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spacing w:after="160"/>
            </w:pPr>
            <w:r>
              <w:rPr>
                <w:rStyle w:val="row-content-rich-text"/>
              </w:rPr>
              <w:t xml:space="preserve">Tasmania’s illicit drug diversion treatment data are managed and extracted from the </w:t>
            </w:r>
            <w:r>
              <w:rPr>
                <w:rStyle w:val="row-content-rich-text"/>
                <w:i/>
              </w:rPr>
              <w:t xml:space="preserve">Drug Offence Reporting System </w:t>
            </w:r>
            <w:r>
              <w:rPr>
                <w:rStyle w:val="row-content-rich-text"/>
              </w:rPr>
              <w:t xml:space="preserve">(DORS). This system resides with Tasmania Police. A high proportion of treatment episodes in Tasmania with the principal drug of cannabis can be attributed largely to the inclusion of this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7971390bff4e2a">
              <w:r>
                <w:rPr>
                  <w:rStyle w:val="Hyperlink"/>
                </w:rPr>
                <w:t xml:space="preserve">Alcohol and other drug treatment services NMDS, 2013–14; Quality Statement</w:t>
              </w:r>
            </w:hyperlink>
          </w:p>
          <w:p>
            <w:pPr>
              <w:spacing w:before="0" w:after="0"/>
            </w:pPr>
            <w:r>
              <w:rPr>
                <w:rStyle w:val="row-content"/>
                <w:color w:val="244061"/>
              </w:rPr>
              <w:t xml:space="preserve">       </w:t>
            </w:r>
            <w:hyperlink w:history="true" r:id="Re34106db86604321">
              <w:r>
                <w:rPr>
                  <w:rStyle w:val="Hyperlink"/>
                  <w:color w:val="244061"/>
                </w:rPr>
                <w:t xml:space="preserve">AIHW Data Quality Statements</w:t>
              </w:r>
            </w:hyperlink>
            <w:r>
              <w:rPr>
                <w:rStyle w:val="row-content"/>
                <w:color w:val="244061"/>
              </w:rPr>
              <w:t xml:space="preserve">, Standard 25/05/2015</w:t>
            </w:r>
          </w:p>
          <w:p>
            <w:r>
              <w:br/>
            </w:r>
            <w:r>
              <w:rPr>
                <w:rStyle w:val="row-content"/>
              </w:rPr>
              <w:t xml:space="preserve">Has been superseded by </w:t>
            </w:r>
            <w:hyperlink w:history="true" r:id="R54a7fba0c07c47dc">
              <w:r>
                <w:rPr>
                  <w:rStyle w:val="Hyperlink"/>
                </w:rPr>
                <w:t xml:space="preserve">Alcohol and other drug treatment services NMDS, 2015–16; Quality Statement</w:t>
              </w:r>
            </w:hyperlink>
          </w:p>
          <w:p>
            <w:pPr>
              <w:spacing w:before="0" w:after="0"/>
            </w:pPr>
            <w:r>
              <w:rPr>
                <w:rStyle w:val="row-content"/>
                <w:color w:val="244061"/>
              </w:rPr>
              <w:t xml:space="preserve">       </w:t>
            </w:r>
            <w:hyperlink w:history="true" r:id="R912f41f3aa354181">
              <w:r>
                <w:rPr>
                  <w:rStyle w:val="Hyperlink"/>
                  <w:color w:val="244061"/>
                </w:rPr>
                <w:t xml:space="preserve">AIHW Data Quality Statements</w:t>
              </w:r>
            </w:hyperlink>
            <w:r>
              <w:rPr>
                <w:rStyle w:val="row-content"/>
                <w:color w:val="244061"/>
              </w:rPr>
              <w:t xml:space="preserve">, Superseded 20/04/2018</w:t>
            </w:r>
          </w:p>
          <w:p>
            <w:r>
              <w:br/>
            </w:r>
          </w:p>
        </w:tc>
      </w:tr>
    </w:tbl>
    <w:p>
      <w:r>
        <w:br/>
      </w:r>
    </w:p>
    <w:sectPr>
      <w:footerReference xmlns:r="http://schemas.openxmlformats.org/officeDocument/2006/relationships" w:type="default" r:id="Rffdb5e23239f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637860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14787616c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b5e23239f46ab" /><Relationship Type="http://schemas.openxmlformats.org/officeDocument/2006/relationships/header" Target="/word/header1.xml" Id="R4061ac21c9794060" /><Relationship Type="http://schemas.openxmlformats.org/officeDocument/2006/relationships/settings" Target="/word/settings.xml" Id="R4ce1f9a8a3084962" /><Relationship Type="http://schemas.openxmlformats.org/officeDocument/2006/relationships/styles" Target="/word/styles.xml" Id="Ra7776bc958a3473b" /><Relationship Type="http://schemas.openxmlformats.org/officeDocument/2006/relationships/hyperlink" Target="https://meteor.aihw.gov.au/RegistrationAuthority/5" TargetMode="External" Id="R1558b32528b74698" /><Relationship Type="http://schemas.openxmlformats.org/officeDocument/2006/relationships/numbering" Target="/word/numbering.xml" Id="R4b190e14b3e24116" /><Relationship Type="http://schemas.openxmlformats.org/officeDocument/2006/relationships/hyperlink" Target="http://www.aihw.gov.au/" TargetMode="External" Id="Rd13eebb1eba24730" /><Relationship Type="http://schemas.openxmlformats.org/officeDocument/2006/relationships/hyperlink" Target="http://www.aihw.gov.au/alcohol-and-other-drugs-publications" TargetMode="External" Id="R726d9de1adc949f6" /><Relationship Type="http://schemas.openxmlformats.org/officeDocument/2006/relationships/hyperlink" Target="http://www.aihw.gov.au/alcohol-and-other-drugs-publications/" TargetMode="External" Id="Rcdaf47eda44143f8" /><Relationship Type="http://schemas.openxmlformats.org/officeDocument/2006/relationships/hyperlink" Target="http://www.aihw.gov.au/alcohol-and-other-drugs-publications/" TargetMode="External" Id="R2ce18503b9d6422c" /><Relationship Type="http://schemas.openxmlformats.org/officeDocument/2006/relationships/hyperlink" Target="mailto:info@aihw.gov.au" TargetMode="External" Id="R8d38bc1776ee4281" /><Relationship Type="http://schemas.openxmlformats.org/officeDocument/2006/relationships/hyperlink" Target="http://www.aihw.gov.au/custom-data-request-service/" TargetMode="External" Id="R689e195502ad4b07" /><Relationship Type="http://schemas.openxmlformats.org/officeDocument/2006/relationships/hyperlink" Target="https://meteor.aihw.gov.au/content/583090" TargetMode="External" Id="R169f869f75cd42e1" /><Relationship Type="http://schemas.openxmlformats.org/officeDocument/2006/relationships/hyperlink" Target="https://meteor.aihw.gov.au/content/606485" TargetMode="External" Id="R647971390bff4e2a" /><Relationship Type="http://schemas.openxmlformats.org/officeDocument/2006/relationships/hyperlink" Target="https://meteor.aihw.gov.au/RegistrationAuthority/5" TargetMode="External" Id="Re34106db86604321" /><Relationship Type="http://schemas.openxmlformats.org/officeDocument/2006/relationships/hyperlink" Target="https://meteor.aihw.gov.au/content/667446" TargetMode="External" Id="R54a7fba0c07c47dc" /><Relationship Type="http://schemas.openxmlformats.org/officeDocument/2006/relationships/hyperlink" Target="https://meteor.aihw.gov.au/RegistrationAuthority/5" TargetMode="External" Id="R912f41f3aa354181" /></Relationships>
</file>

<file path=word/_rels/header1.xml.rels>&#65279;<?xml version="1.0" encoding="utf-8"?><Relationships xmlns="http://schemas.openxmlformats.org/package/2006/relationships"><Relationship Type="http://schemas.openxmlformats.org/officeDocument/2006/relationships/image" Target="/media/image.png" Id="R6ae14787616c4f7f" /></Relationships>
</file>