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352074295f4da5" /></Relationships>
</file>

<file path=word/document.xml><?xml version="1.0" encoding="utf-8"?>
<w:document xmlns:r="http://schemas.openxmlformats.org/officeDocument/2006/relationships" xmlns:w="http://schemas.openxmlformats.org/wordprocessingml/2006/main">
  <w:body>
    <w:p>
      <w:pPr>
        <w:pStyle w:val="Title"/>
      </w:pPr>
      <w:r>
        <w:t>National Outcomes and Casemix Collection (NOCC)</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Outcomes and Casemix Collection (NOCC)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Outcomes and Casemix Collection (NOCC) is a national collection of clinician and consumer-rated measures of consumer symptoms and functioning at key points of care within public specialised clinical mental health services. The NOCC aims to support the development of routine use of outcome measures in public mental health services and an informed mental health sector. </w:t>
            </w:r>
            <w:r>
              <w:rPr>
                <w:rStyle w:val="row-content-rich-text"/>
              </w:rPr>
              <w:t xml:space="preserve"> </w:t>
            </w:r>
          </w:p>
          <w:p>
            <w:pPr>
              <w:spacing w:after="160"/>
            </w:pPr>
            <w:r>
              <w:rPr>
                <w:rStyle w:val="row-content-rich-text"/>
              </w:rPr>
              <w:t xml:space="preserve">The measures that comprise the NOCC are:</w:t>
            </w:r>
          </w:p>
          <w:p>
            <w:pPr>
              <w:spacing w:after="160"/>
            </w:pPr>
            <w:r>
              <w:rPr>
                <w:rStyle w:val="row-content-rich-text"/>
              </w:rPr>
              <w:t xml:space="preserve"> </w:t>
            </w:r>
            <w:r>
              <w:rPr>
                <w:rStyle w:val="row-content-rich-text"/>
              </w:rPr>
              <w:t xml:space="preserve">•   Principal Diagnosis;</w:t>
            </w:r>
          </w:p>
          <w:p>
            <w:pPr>
              <w:spacing w:after="160"/>
            </w:pPr>
            <w:r>
              <w:rPr>
                <w:rStyle w:val="row-content-rich-text"/>
              </w:rPr>
              <w:t xml:space="preserve"> </w:t>
            </w:r>
            <w:r>
              <w:rPr>
                <w:rStyle w:val="row-content-rich-text"/>
              </w:rPr>
              <w:t xml:space="preserve">•   Additional Diagnoses;</w:t>
            </w:r>
          </w:p>
          <w:p>
            <w:pPr>
              <w:spacing w:after="160"/>
            </w:pPr>
            <w:r>
              <w:rPr>
                <w:rStyle w:val="row-content-rich-text"/>
              </w:rPr>
              <w:t xml:space="preserve"> </w:t>
            </w:r>
            <w:r>
              <w:rPr>
                <w:rStyle w:val="row-content-rich-text"/>
              </w:rPr>
              <w:t xml:space="preserve">•   Mental Health Legal Status;</w:t>
            </w:r>
          </w:p>
          <w:p>
            <w:pPr>
              <w:spacing w:after="160"/>
            </w:pPr>
            <w:r>
              <w:rPr>
                <w:rStyle w:val="row-content-rich-text"/>
              </w:rPr>
              <w:t xml:space="preserve"> </w:t>
            </w:r>
            <w:r>
              <w:rPr>
                <w:rStyle w:val="row-content-rich-text"/>
              </w:rPr>
              <w:t xml:space="preserve">•   Health of the Nation Outcome Scale (HoNOS);</w:t>
            </w:r>
          </w:p>
          <w:p>
            <w:pPr>
              <w:spacing w:after="160"/>
            </w:pPr>
            <w:r>
              <w:rPr>
                <w:rStyle w:val="row-content-rich-text"/>
              </w:rPr>
              <w:t xml:space="preserve"> </w:t>
            </w:r>
            <w:r>
              <w:rPr>
                <w:rStyle w:val="row-content-rich-text"/>
              </w:rPr>
              <w:t xml:space="preserve">•   Health of the Nation Outcome Scale for Children and Adolescents (HoNOSCA);</w:t>
            </w:r>
          </w:p>
          <w:p>
            <w:pPr>
              <w:spacing w:after="160"/>
            </w:pPr>
            <w:r>
              <w:rPr>
                <w:rStyle w:val="row-content-rich-text"/>
              </w:rPr>
              <w:t xml:space="preserve"> </w:t>
            </w:r>
            <w:r>
              <w:rPr>
                <w:rStyle w:val="row-content-rich-text"/>
              </w:rPr>
              <w:t xml:space="preserve">•   Health of the Nation Outcome Scale 65+ (HoNOS65+);</w:t>
            </w:r>
          </w:p>
          <w:p>
            <w:pPr>
              <w:spacing w:after="160"/>
            </w:pPr>
            <w:r>
              <w:rPr>
                <w:rStyle w:val="row-content-rich-text"/>
              </w:rPr>
              <w:t xml:space="preserve"> </w:t>
            </w:r>
            <w:r>
              <w:rPr>
                <w:rStyle w:val="row-content-rich-text"/>
              </w:rPr>
              <w:t xml:space="preserve">•   Life Skills Profile 16 (LSP-16);</w:t>
            </w:r>
          </w:p>
          <w:p>
            <w:pPr>
              <w:spacing w:after="160"/>
            </w:pPr>
            <w:r>
              <w:rPr>
                <w:rStyle w:val="row-content-rich-text"/>
              </w:rPr>
              <w:t xml:space="preserve"> </w:t>
            </w:r>
            <w:r>
              <w:rPr>
                <w:rStyle w:val="row-content-rich-text"/>
              </w:rPr>
              <w:t xml:space="preserve">•   Resource Utilisation Groups – Activities of Daily Living Scale (RUG-ADL);</w:t>
            </w:r>
          </w:p>
          <w:p>
            <w:pPr>
              <w:spacing w:after="160"/>
            </w:pPr>
            <w:r>
              <w:rPr>
                <w:rStyle w:val="row-content-rich-text"/>
              </w:rPr>
              <w:t xml:space="preserve"> </w:t>
            </w:r>
            <w:r>
              <w:rPr>
                <w:rStyle w:val="row-content-rich-text"/>
              </w:rPr>
              <w:t xml:space="preserve">•   Children’s Global Assessment Scale (CGAS);</w:t>
            </w:r>
          </w:p>
          <w:p>
            <w:pPr>
              <w:spacing w:after="160"/>
            </w:pPr>
            <w:r>
              <w:rPr>
                <w:rStyle w:val="row-content-rich-text"/>
              </w:rPr>
              <w:t xml:space="preserve"> </w:t>
            </w:r>
            <w:r>
              <w:rPr>
                <w:rStyle w:val="row-content-rich-text"/>
              </w:rPr>
              <w:t xml:space="preserve">•   Mental Health Inventory (MHI);</w:t>
            </w:r>
          </w:p>
          <w:p>
            <w:pPr>
              <w:spacing w:after="160"/>
            </w:pPr>
            <w:r>
              <w:rPr>
                <w:rStyle w:val="row-content-rich-text"/>
              </w:rPr>
              <w:t xml:space="preserve"> </w:t>
            </w:r>
            <w:r>
              <w:rPr>
                <w:rStyle w:val="row-content-rich-text"/>
              </w:rPr>
              <w:t xml:space="preserve">•   Behaviour and Symptom Identification Scale 32 (BASIS-32®);</w:t>
            </w:r>
          </w:p>
          <w:p>
            <w:pPr>
              <w:spacing w:after="160"/>
            </w:pPr>
            <w:r>
              <w:rPr>
                <w:rStyle w:val="row-content-rich-text"/>
              </w:rPr>
              <w:t xml:space="preserve"> </w:t>
            </w:r>
            <w:r>
              <w:rPr>
                <w:rStyle w:val="row-content-rich-text"/>
              </w:rPr>
              <w:t xml:space="preserve">•   Kessler-10 Plus (K-10+);</w:t>
            </w:r>
          </w:p>
          <w:p>
            <w:pPr>
              <w:spacing w:after="160"/>
            </w:pPr>
            <w:r>
              <w:rPr>
                <w:rStyle w:val="row-content-rich-text"/>
              </w:rPr>
              <w:t xml:space="preserve"> </w:t>
            </w:r>
            <w:r>
              <w:rPr>
                <w:rStyle w:val="row-content-rich-text"/>
              </w:rPr>
              <w:t xml:space="preserve">•   Strengths and Difficulties Questionnaire (SDQ);</w:t>
            </w:r>
          </w:p>
          <w:p>
            <w:pPr>
              <w:spacing w:after="160"/>
            </w:pPr>
            <w:r>
              <w:rPr>
                <w:rStyle w:val="row-content-rich-text"/>
              </w:rPr>
              <w:t xml:space="preserve"> </w:t>
            </w:r>
            <w:r>
              <w:rPr>
                <w:rStyle w:val="row-content-rich-text"/>
              </w:rPr>
              <w:t xml:space="preserve">•   Factors Influencing Health Status (FIHS); and</w:t>
            </w:r>
          </w:p>
          <w:p>
            <w:pPr/>
            <w:r>
              <w:rPr>
                <w:rStyle w:val="row-content-rich-text"/>
              </w:rPr>
              <w:t xml:space="preserve"> </w:t>
            </w:r>
            <w:r>
              <w:rPr>
                <w:rStyle w:val="row-content-rich-text"/>
              </w:rPr>
              <w:t xml:space="preserve">•   Focus of Care (FOC).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c86b7c1fe17e4fa9">
              <w:r>
                <w:rPr>
                  <w:rStyle w:val="Hyperlink"/>
                </w:rPr>
                <w:t xml:space="preserve">http://www.amhocn.org/what-collected/nocc-technical-specifications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Mental Health Outcomes and Classification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sectPr>
      <w:footerReference xmlns:r="http://schemas.openxmlformats.org/officeDocument/2006/relationships" w:type="default" r:id="R76e2a4af8ed047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636931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70f7fa0d6345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e2a4af8ed047e8" /><Relationship Type="http://schemas.openxmlformats.org/officeDocument/2006/relationships/header" Target="/word/header1.xml" Id="R1e44882916d14bb6" /><Relationship Type="http://schemas.openxmlformats.org/officeDocument/2006/relationships/settings" Target="/word/settings.xml" Id="Rf9ee534f0f834895" /><Relationship Type="http://schemas.openxmlformats.org/officeDocument/2006/relationships/styles" Target="/word/styles.xml" Id="R851803e3b21245c4" /><Relationship Type="http://schemas.openxmlformats.org/officeDocument/2006/relationships/hyperlink" Target="http://www.amhocn.org/what-collected/nocc-technical-specifications" TargetMode="External" Id="Rc86b7c1fe17e4fa9" /></Relationships>
</file>

<file path=word/_rels/header1.xml.rels>&#65279;<?xml version="1.0" encoding="utf-8"?><Relationships xmlns="http://schemas.openxmlformats.org/package/2006/relationships"><Relationship Type="http://schemas.openxmlformats.org/officeDocument/2006/relationships/image" Target="/media/image.png" Id="R3e70f7fa0d634555" /></Relationships>
</file>