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1d20e0a7864ed6" /></Relationships>
</file>

<file path=word/document.xml><?xml version="1.0" encoding="utf-8"?>
<w:document xmlns:r="http://schemas.openxmlformats.org/officeDocument/2006/relationships" xmlns:w="http://schemas.openxmlformats.org/wordprocessingml/2006/main">
  <w:body>
    <w:p>
      <w:pPr>
        <w:pStyle w:val="Title"/>
      </w:pPr>
      <w:r>
        <w:t>Person—gender, code 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Person—gender,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905bde812a4b7d">
              <w:r>
                <w:rPr>
                  <w:rStyle w:val="Hyperlink"/>
                  <w:color w:val="244061"/>
                </w:rPr>
                <w:t xml:space="preserve">Health</w:t>
              </w:r>
            </w:hyperlink>
            <w:r>
              <w:rPr>
                <w:rStyle w:val="row-content"/>
                <w:color w:val="244061"/>
              </w:rPr>
              <w:t xml:space="preserve">, Superseded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distinction between male, female, and other genders which are a combination of male and female, or neither male nor female,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Gender is an alternative to the commonly used sex metadata item. Gender may be used in a wide range of social, labour and demographic statistics where there is no requirement to collect the biological profile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4915fe487b4935">
              <w:r>
                <w:rPr>
                  <w:rStyle w:val="Hyperlink"/>
                </w:rPr>
                <w:t xml:space="preserve">Person—gender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512958efbb4d48">
              <w:r>
                <w:rPr>
                  <w:rStyle w:val="Hyperlink"/>
                </w:rPr>
                <w:t xml:space="preserve">Gender code 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Bureau of Statistics (ABS) </w:t>
            </w:r>
            <w:r>
              <w:rPr>
                <w:rStyle w:val="row-content-rich-text"/>
                <w:i/>
              </w:rPr>
              <w:t xml:space="preserve">Standard for Sex and Gender Variables</w:t>
            </w:r>
            <w:r>
              <w:rPr>
                <w:rStyle w:val="row-content-rich-text"/>
              </w:rPr>
              <w:t xml:space="preserve"> includes the following Alternate Code system:</w:t>
            </w:r>
          </w:p>
          <w:p>
            <w:pPr>
              <w:spacing w:after="160"/>
            </w:pPr>
            <w:r>
              <w:rPr>
                <w:rStyle w:val="row-content-rich-text"/>
              </w:rPr>
              <w:t xml:space="preserve">M    Male</w:t>
            </w:r>
          </w:p>
          <w:p>
            <w:pPr>
              <w:spacing w:after="160"/>
            </w:pPr>
            <w:r>
              <w:rPr>
                <w:rStyle w:val="row-content-rich-text"/>
              </w:rPr>
              <w:t xml:space="preserve">F    Female</w:t>
            </w:r>
          </w:p>
          <w:p>
            <w:pPr>
              <w:spacing w:after="160"/>
            </w:pPr>
            <w:r>
              <w:rPr>
                <w:rStyle w:val="row-content-rich-text"/>
              </w:rPr>
              <w:t xml:space="preserve">X    Other</w:t>
            </w:r>
          </w:p>
          <w:p>
            <w:pPr>
              <w:spacing w:after="160"/>
            </w:pPr>
            <w:r>
              <w:rPr>
                <w:rStyle w:val="row-content-rich-text"/>
              </w:rPr>
              <w:t xml:space="preserve">For statistical purposes, the following category codes, labels and definitions are preferred:</w:t>
            </w:r>
          </w:p>
          <w:p>
            <w:pPr>
              <w:spacing w:after="160"/>
            </w:pPr>
            <w:r>
              <w:rPr>
                <w:rStyle w:val="row-content-rich-text"/>
              </w:rPr>
              <w:t xml:space="preserve">CODE 1   Male</w:t>
            </w:r>
          </w:p>
          <w:p>
            <w:pPr>
              <w:spacing w:after="160"/>
            </w:pPr>
            <w:r>
              <w:rPr>
                <w:rStyle w:val="row-content-rich-text"/>
              </w:rPr>
              <w:t xml:space="preserve">Adults who identify themselves as men, and children who identify themselves as boys.</w:t>
            </w:r>
          </w:p>
          <w:p>
            <w:pPr>
              <w:spacing w:after="160"/>
            </w:pPr>
            <w:r>
              <w:rPr>
                <w:rStyle w:val="row-content-rich-text"/>
              </w:rPr>
              <w:t xml:space="preserve">CODE 2   Female</w:t>
            </w:r>
          </w:p>
          <w:p>
            <w:pPr>
              <w:spacing w:after="160"/>
            </w:pPr>
            <w:r>
              <w:rPr>
                <w:rStyle w:val="row-content-rich-text"/>
              </w:rPr>
              <w:t xml:space="preserve">Adults who identify themselves as women, and children who identify themselves as girls.</w:t>
            </w:r>
          </w:p>
          <w:p>
            <w:pPr>
              <w:spacing w:after="160"/>
            </w:pPr>
            <w:r>
              <w:rPr>
                <w:rStyle w:val="row-content-rich-text"/>
              </w:rPr>
              <w:t xml:space="preserve">CODE 3   Other</w:t>
            </w:r>
          </w:p>
          <w:p>
            <w:pPr>
              <w:spacing w:after="160"/>
            </w:pPr>
            <w:r>
              <w:rPr>
                <w:rStyle w:val="row-content-rich-text"/>
              </w:rPr>
              <w:t xml:space="preserve">Adults and children who identify as non-binary, gender diverse, or with descriptors other than man/boy or woman/girl.</w:t>
            </w:r>
          </w:p>
          <w:p>
            <w:pPr/>
            <w:r>
              <w:rPr>
                <w:rStyle w:val="row-content-rich-text"/>
              </w:rPr>
              <w:t xml:space="preserve">The value meaning of 'Other' has been assigned to Code 3 for this value domain, which replaces 'Gender other/diverse' for the superseded value domain </w:t>
            </w:r>
            <w:hyperlink w:history="true" r:id="R5665f19d832346fc">
              <w:r>
                <w:rPr>
                  <w:rStyle w:val="Hyperlink"/>
                </w:rPr>
                <w:t xml:space="preserve">Gender code N</w:t>
              </w:r>
            </w:hyperlink>
            <w:r>
              <w:rPr>
                <w:rStyle w:val="row-content-rich-text"/>
              </w:rPr>
              <w:t xml:space="preserve">. Terms such as ‘gender diverse’, ‘non-binary’, ‘unspecified’, 'trans', 'transgender', 'transsexual', 'gender queer', 'pan-gendered', 'androgynous' and 'inter-gender' are variously used to describe the 'Other' category of gender. Some cultures may have their own terms for gender identities outside male and female. The label ‘Other’ is used because a more descriptive term has not been widely agreed within the general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will periodically review its Standard for Sex and Gender Variables. This process will specifically investigate the appropriateness of the naming of the 'Other' 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62c519c8e72f48dd">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52920ef5de2c4da3">
              <w:r>
                <w:rPr>
                  <w:rStyle w:val="Hyperlink"/>
                </w:rPr>
                <w:t xml:space="preserve">Australian Government Guidelines on the Recognition of Sex and Gender</w:t>
              </w:r>
            </w:hyperlink>
            <w:r>
              <w:rPr>
                <w:rStyle w:val="row-content-rich-text"/>
              </w:rPr>
              <w:t xml:space="preserve">. Viewed 26 July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 ‘gender’ refers to the way in which a person identifies their masculine or feminine characteristics. A person’s gender relates to their deeply held internal and individual sense of gender and is not always exclusively male or female. It may or may not correspond to their sex assigned at birth. As gender is determined by the individual, it can therefore be fluid over time.</w:t>
            </w:r>
          </w:p>
          <w:p>
            <w:pPr>
              <w:spacing w:after="160"/>
            </w:pPr>
            <w:r>
              <w:rPr>
                <w:rStyle w:val="row-content-rich-text"/>
              </w:rPr>
              <w:t xml:space="preserve">Collection of gender does not include sex information, which is interrelated but conceptually distinct. The concept of sex is based on the physical or biological aspects of a person’s body while the concept of gender relates to the way a person feels, presents and is recognised within the general community and may refer to outward social markers such as their name, outward appearance, mannerisms and dress. Sexual orientation is a separate concept to sex and gender, involving a person’s emotional or sexual attraction to another person, and is not covered in collection of gender information.</w:t>
            </w:r>
          </w:p>
          <w:p>
            <w:pPr>
              <w:spacing w:after="160"/>
            </w:pPr>
            <w:r>
              <w:rPr>
                <w:rStyle w:val="row-content-rich-text"/>
              </w:rPr>
              <w:t xml:space="preserve">In general, both sex and gender should not be collected in a single collection instrument. The Australian Government Guidelines on the Recognition of Sex and Gender recommends the preferred Australian Government approach of collecting and using gender information, with sex only being collected where there is a legitimate need to know the biological characteristics of the target population. It should be recognised that in some cases an individual may choose to report their sex when gender is being requested.</w:t>
            </w:r>
          </w:p>
          <w:p>
            <w:pPr/>
            <w:r>
              <w:rPr>
                <w:rStyle w:val="row-content-rich-text"/>
              </w:rPr>
              <w:t xml:space="preserve">Organisations should ensure when they collect sex and/or gender information they use the correct terminology for the information they are seeking. Male and female are predominantly associated with the set of biological attributes that define the different types of sexes, while masculine and feminine characteristics are predominantly associated with the set of factors that make up gender. However, it should be recognised that male/female and masculine/feminine are sometimes used interchangeably to refer to sex and/or 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Standard Question Module</w:t>
            </w:r>
          </w:p>
          <w:p>
            <w:pPr>
              <w:spacing w:after="160"/>
            </w:pPr>
            <w:r>
              <w:rPr>
                <w:rStyle w:val="row-content-rich-text"/>
              </w:rPr>
              <w:t xml:space="preserve">For the collection of gender, the following standard tick box question module could be used:</w:t>
            </w:r>
          </w:p>
          <w:p>
            <w:pPr>
              <w:spacing w:after="160"/>
            </w:pPr>
            <w:r>
              <w:rPr>
                <w:rStyle w:val="row-content-rich-text"/>
              </w:rPr>
              <w:t xml:space="preserve"> </w:t>
            </w:r>
          </w:p>
          <w:p>
            <w:pPr>
              <w:spacing w:after="160"/>
            </w:pPr>
            <w:r>
              <w:rPr>
                <w:rStyle w:val="row-content-rich-text"/>
              </w:rPr>
              <w:t xml:space="preserve">What is your gender? Please [tick/mark/select] one box.</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Male</w:t>
            </w:r>
          </w:p>
          <w:p>
            <w:pPr>
              <w:spacing w:after="160"/>
            </w:pPr>
            <w:r>
              <w:rPr>
                <w:rStyle w:val="row-content-rich-text"/>
              </w:rPr>
              <w:t xml:space="preserve">[] Female</w:t>
            </w:r>
          </w:p>
          <w:p>
            <w:pPr>
              <w:spacing w:after="160"/>
            </w:pPr>
            <w:r>
              <w:rPr>
                <w:rStyle w:val="row-content-rich-text"/>
              </w:rPr>
              <w:t xml:space="preserve">[] Other, please specify _______________</w:t>
            </w:r>
          </w:p>
          <w:p>
            <w:pPr>
              <w:spacing w:after="160"/>
            </w:pPr>
            <w:r>
              <w:rPr>
                <w:rStyle w:val="row-content-rich-text"/>
              </w:rPr>
              <w:t xml:space="preserve"> </w:t>
            </w:r>
          </w:p>
          <w:p>
            <w:pPr>
              <w:spacing w:after="160"/>
            </w:pPr>
            <w:r>
              <w:rPr>
                <w:rStyle w:val="row-content-rich-text"/>
                <w:b/>
              </w:rPr>
              <w:t xml:space="preserve">Mandatory elements</w:t>
            </w:r>
          </w:p>
          <w:p>
            <w:pPr>
              <w:spacing w:after="160"/>
            </w:pPr>
            <w:r>
              <w:rPr>
                <w:rStyle w:val="row-content-rich-text"/>
              </w:rPr>
              <w:t xml:space="preserve">The following elements should be included:</w:t>
            </w:r>
          </w:p>
          <w:p>
            <w:pPr>
              <w:pStyle w:val="ListParagraph"/>
              <w:numPr>
                <w:ilvl w:val="0"/>
                <w:numId w:val="2"/>
              </w:numPr>
            </w:pPr>
            <w:r>
              <w:rPr>
                <w:rStyle w:val="row-content-rich-text"/>
              </w:rPr>
              <w:t xml:space="preserve">the term ‘gender’ in the question to clearly articulate the concept being collected;</w:t>
            </w:r>
          </w:p>
          <w:p>
            <w:pPr>
              <w:pStyle w:val="ListParagraph"/>
              <w:numPr>
                <w:ilvl w:val="0"/>
                <w:numId w:val="2"/>
              </w:numPr>
            </w:pPr>
            <w:r>
              <w:rPr>
                <w:rStyle w:val="row-content-rich-text"/>
              </w:rPr>
              <w:t xml:space="preserve">label the response options ‘Male’, ‘Female’ and 'Other'; and</w:t>
            </w:r>
          </w:p>
          <w:p>
            <w:pPr>
              <w:pStyle w:val="ListParagraph"/>
              <w:numPr>
                <w:ilvl w:val="0"/>
                <w:numId w:val="2"/>
              </w:numPr>
            </w:pPr>
            <w:r>
              <w:rPr>
                <w:rStyle w:val="row-content-rich-text"/>
              </w:rPr>
              <w:t xml:space="preserve">a note that only one response is permitted.</w:t>
            </w:r>
          </w:p>
          <w:p>
            <w:pPr>
              <w:spacing w:after="160"/>
            </w:pPr>
            <w:r>
              <w:rPr>
                <w:rStyle w:val="row-content-rich-text"/>
                <w:b/>
              </w:rPr>
              <w:t xml:space="preserve">Optional elements</w:t>
            </w:r>
          </w:p>
          <w:p>
            <w:pPr>
              <w:spacing w:after="160"/>
            </w:pPr>
            <w:r>
              <w:rPr>
                <w:rStyle w:val="row-content-rich-text"/>
              </w:rPr>
              <w:t xml:space="preserve">The following elements may be included:</w:t>
            </w:r>
          </w:p>
          <w:p>
            <w:pPr>
              <w:pStyle w:val="ListParagraph"/>
              <w:numPr>
                <w:ilvl w:val="0"/>
                <w:numId w:val="3"/>
              </w:numPr>
            </w:pPr>
            <w:r>
              <w:rPr>
                <w:rStyle w:val="row-content-rich-text"/>
              </w:rPr>
              <w:t xml:space="preserve">the response option for 'Other' is labelled 'Other, please specify'; and</w:t>
            </w:r>
          </w:p>
          <w:p>
            <w:pPr>
              <w:pStyle w:val="ListParagraph"/>
              <w:numPr>
                <w:ilvl w:val="0"/>
                <w:numId w:val="3"/>
              </w:numPr>
            </w:pPr>
            <w:r>
              <w:rPr>
                <w:rStyle w:val="row-content-rich-text"/>
              </w:rPr>
              <w:t xml:space="preserve"> </w:t>
            </w:r>
          </w:p>
          <w:p>
            <w:pPr>
              <w:spacing w:after="160"/>
            </w:pPr>
            <w:r>
              <w:rPr>
                <w:rStyle w:val="row-content-rich-text"/>
              </w:rPr>
              <w:t xml:space="preserve">The inclusion of the write-in facility for 'Other' allows respondents the opportunity to describe their gender using a term they are comfortable with, whilst also maximising the potential for analysis of the responses provided. Where the 'Other' code has been selected for gender, the data element </w:t>
            </w:r>
            <w:hyperlink w:history="true" r:id="R33d106fa48694869">
              <w:r>
                <w:rPr>
                  <w:rStyle w:val="Hyperlink"/>
                </w:rPr>
                <w:t xml:space="preserve">Person—gender, text X[X(99)]</w:t>
              </w:r>
            </w:hyperlink>
            <w:r>
              <w:rPr>
                <w:rStyle w:val="row-content-rich-text"/>
              </w:rPr>
              <w:t xml:space="preserve"> may be used to capture any further (optional) specification of gender descriptors.</w:t>
            </w:r>
          </w:p>
          <w:p>
            <w:pPr>
              <w:spacing w:after="160"/>
            </w:pPr>
            <w:r>
              <w:rPr>
                <w:rStyle w:val="row-content-rich-text"/>
                <w:b/>
              </w:rPr>
              <w:t xml:space="preserve">Allowable variations</w:t>
            </w:r>
          </w:p>
          <w:p>
            <w:pPr>
              <w:spacing w:after="160"/>
            </w:pPr>
            <w:r>
              <w:rPr>
                <w:rStyle w:val="row-content-rich-text"/>
              </w:rPr>
              <w:t xml:space="preserve">Minor variations to the question wording are allowed. For example:</w:t>
            </w:r>
          </w:p>
          <w:p>
            <w:pPr>
              <w:spacing w:after="160"/>
            </w:pPr>
            <w:r>
              <w:rPr>
                <w:rStyle w:val="row-content-rich-text"/>
              </w:rPr>
              <w:t xml:space="preserve"> </w:t>
            </w:r>
          </w:p>
          <w:p>
            <w:pPr>
              <w:spacing w:after="160"/>
            </w:pPr>
            <w:r>
              <w:rPr>
                <w:rStyle w:val="row-content-rich-text"/>
              </w:rPr>
              <w:t xml:space="preserve">Which of the following describes your gender? Please [tick/mark/select] one box</w:t>
            </w:r>
          </w:p>
          <w:p>
            <w:pPr>
              <w:spacing w:after="160"/>
            </w:pPr>
            <w:r>
              <w:rPr>
                <w:rStyle w:val="row-content-rich-text"/>
              </w:rPr>
              <w:t xml:space="preserve"> </w:t>
            </w:r>
          </w:p>
          <w:p>
            <w:pPr>
              <w:spacing w:after="160"/>
            </w:pPr>
            <w:r>
              <w:rPr>
                <w:rStyle w:val="row-content-rich-text"/>
              </w:rPr>
              <w:t xml:space="preserve">or</w:t>
            </w:r>
          </w:p>
          <w:p>
            <w:pPr>
              <w:spacing w:after="160"/>
            </w:pPr>
            <w:r>
              <w:rPr>
                <w:rStyle w:val="row-content-rich-text"/>
              </w:rPr>
              <w:t xml:space="preserve"> </w:t>
            </w:r>
          </w:p>
          <w:p>
            <w:pPr>
              <w:spacing w:after="160"/>
            </w:pPr>
            <w:r>
              <w:rPr>
                <w:rStyle w:val="row-content-rich-text"/>
              </w:rPr>
              <w:t xml:space="preserve">What gender do you identify as? Please [tick/mark/select] one box</w:t>
            </w:r>
          </w:p>
          <w:p>
            <w:pPr>
              <w:spacing w:after="160"/>
            </w:pPr>
            <w:r>
              <w:rPr>
                <w:rStyle w:val="row-content-rich-text"/>
              </w:rPr>
              <w:t xml:space="preserve"> </w:t>
            </w:r>
          </w:p>
          <w:p>
            <w:pPr>
              <w:spacing w:after="160"/>
            </w:pPr>
            <w:r>
              <w:rPr>
                <w:rStyle w:val="row-content-rich-text"/>
              </w:rPr>
              <w:t xml:space="preserve">or</w:t>
            </w:r>
          </w:p>
          <w:p>
            <w:pPr>
              <w:spacing w:after="160"/>
            </w:pPr>
            <w:r>
              <w:rPr>
                <w:rStyle w:val="row-content-rich-text"/>
              </w:rPr>
              <w:t xml:space="preserve"> </w:t>
            </w:r>
          </w:p>
          <w:p>
            <w:pPr>
              <w:spacing w:after="160"/>
            </w:pPr>
            <w:r>
              <w:rPr>
                <w:rStyle w:val="row-content-rich-text"/>
              </w:rPr>
              <w:t xml:space="preserve">Gender, please [tick/mark/select] one box.</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b/>
              </w:rPr>
              <w:t xml:space="preserve">Optional inclusions</w:t>
            </w:r>
            <w:r>
              <w:br/>
            </w:r>
            <w:r>
              <w:rPr>
                <w:rStyle w:val="row-content-rich-text"/>
              </w:rPr>
              <w:t xml:space="preserve"> </w:t>
            </w:r>
            <w:r>
              <w:br/>
            </w:r>
            <w:r>
              <w:rPr>
                <w:rStyle w:val="row-content-rich-text"/>
              </w:rPr>
              <w:t xml:space="preserve">Organisations should refrain from making assumptions about a person’s gender identity based on indicators such as their name, voice or appearance. Respondents should be presented with all response options for gender. The Australian Bureau of Statistics (ABS) Standard for Sex and Gender Variables recommends a standard script explaining the importance of the question. Refer to the </w:t>
            </w:r>
            <w:hyperlink w:history="true" r:id="Rc9fe6292932148a8">
              <w:r>
                <w:rPr>
                  <w:rStyle w:val="Hyperlink"/>
                </w:rPr>
                <w:t xml:space="preserve">ABS standard </w:t>
              </w:r>
            </w:hyperlink>
            <w:r>
              <w:rPr>
                <w:rStyle w:val="row-content-rich-text"/>
              </w:rPr>
              <w:t xml:space="preserve">for explanatory information that can be included in self-completed questionnaires (e.g., web forms and paper forms), or read in face-to-face and telephone interviews. The inclusion of explanatory material is optional and at the discretion of those undertaking the collection.</w:t>
            </w:r>
            <w:r>
              <w:br/>
            </w:r>
            <w:r>
              <w:rPr>
                <w:rStyle w:val="row-content-rich-text"/>
              </w:rPr>
              <w:t xml:space="preserve"> </w:t>
            </w:r>
            <w:r>
              <w:br/>
            </w:r>
          </w:p>
          <w:p>
            <w:pPr>
              <w:spacing w:after="160"/>
            </w:pPr>
            <w:r>
              <w:rPr>
                <w:rStyle w:val="row-content-rich-text"/>
                <w:b/>
              </w:rPr>
              <w:t xml:space="preserve">Supplementary values</w:t>
            </w:r>
          </w:p>
          <w:p>
            <w:pPr>
              <w:spacing w:after="160"/>
            </w:pPr>
            <w:r>
              <w:rPr>
                <w:rStyle w:val="row-content-rich-text"/>
              </w:rPr>
              <w:t xml:space="preserve">CODE 9   Not stated/inadequately described</w:t>
            </w:r>
          </w:p>
          <w:p>
            <w:r>
              <w:br/>
            </w:r>
          </w:p>
          <w:p>
            <w:pPr>
              <w:spacing w:after="160"/>
            </w:pPr>
            <w:r>
              <w:rPr>
                <w:rStyle w:val="row-content-rich-text"/>
              </w:rPr>
              <w:t xml:space="preserve"> </w:t>
            </w:r>
          </w:p>
          <w:p>
            <w:pPr/>
            <w:r>
              <w:rPr>
                <w:rStyle w:val="row-content-rich-text"/>
              </w:rPr>
              <w:t xml:space="preserve">This supplementary value is used to code inadequately described responses and non-responses for gender. It is not to be used on primary collection forms. It is primarily for use in administrative collections when transferring data from data sets where the item has not been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8c5958cab4cb42dd">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551050e63d934941">
              <w:r>
                <w:rPr>
                  <w:rStyle w:val="Hyperlink"/>
                </w:rPr>
                <w:t xml:space="preserve">Australian Government Guidelines on the Recognition of Sex and Gender</w:t>
              </w:r>
            </w:hyperlink>
            <w:r>
              <w:rPr>
                <w:rStyle w:val="row-content-rich-text"/>
              </w:rPr>
              <w:t xml:space="preserve">. Viewed 26 July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e6452cd90045f1">
              <w:r>
                <w:rPr>
                  <w:rStyle w:val="Hyperlink"/>
                </w:rPr>
                <w:t xml:space="preserve">Person—gender, code N</w:t>
              </w:r>
            </w:hyperlink>
          </w:p>
          <w:p>
            <w:pPr>
              <w:pStyle w:val="registration-status"/>
              <w:spacing w:before="0" w:after="0"/>
            </w:pPr>
            <w:hyperlink w:history="true" r:id="R96ef27b854ca497f">
              <w:r>
                <w:rPr>
                  <w:rStyle w:val="Hyperlink"/>
                  <w:color w:val="244061"/>
                </w:rPr>
                <w:t xml:space="preserve">Indigenous</w:t>
              </w:r>
            </w:hyperlink>
            <w:r>
              <w:rPr>
                <w:rStyle w:val="row-content"/>
                <w:color w:val="244061"/>
              </w:rPr>
              <w:t xml:space="preserve">, Standard 05/09/2014</w:t>
            </w:r>
          </w:p>
          <w:p>
            <w:r>
              <w:br/>
            </w:r>
            <w:r>
              <w:rPr>
                <w:rStyle w:val="row-content"/>
              </w:rPr>
              <w:t xml:space="preserve">Has been superseded by </w:t>
            </w:r>
            <w:hyperlink w:history="true" r:id="Rdac9e3138cdd4797">
              <w:r>
                <w:rPr>
                  <w:rStyle w:val="Hyperlink"/>
                </w:rPr>
                <w:t xml:space="preserve">Person—gender, code X</w:t>
              </w:r>
            </w:hyperlink>
          </w:p>
          <w:p>
            <w:pPr>
              <w:pStyle w:val="registration-status"/>
              <w:spacing w:before="0" w:after="0"/>
            </w:pPr>
            <w:hyperlink w:history="true" r:id="R866c6c08c1f54297">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36cdd983c45e46c6">
              <w:r>
                <w:rPr>
                  <w:rStyle w:val="Hyperlink"/>
                  <w:color w:val="244061"/>
                </w:rPr>
                <w:t xml:space="preserve">Australian Institute of Health and Welfare</w:t>
              </w:r>
            </w:hyperlink>
            <w:r>
              <w:rPr>
                <w:rStyle w:val="row-content"/>
                <w:color w:val="244061"/>
              </w:rPr>
              <w:t xml:space="preserve">, Qualified 17/01/2024</w:t>
            </w:r>
          </w:p>
          <w:p>
            <w:pPr>
              <w:pStyle w:val="registration-status"/>
              <w:spacing w:before="0" w:after="0"/>
            </w:pPr>
            <w:hyperlink w:history="true" r:id="Rf96e90d224134344">
              <w:r>
                <w:rPr>
                  <w:rStyle w:val="Hyperlink"/>
                  <w:color w:val="244061"/>
                </w:rPr>
                <w:t xml:space="preserve">Health</w:t>
              </w:r>
            </w:hyperlink>
            <w:r>
              <w:rPr>
                <w:rStyle w:val="row-content"/>
                <w:color w:val="244061"/>
              </w:rPr>
              <w:t xml:space="preserve">, Standard 15/02/2022</w:t>
            </w:r>
          </w:p>
          <w:p>
            <w:r>
              <w:br/>
            </w:r>
            <w:r>
              <w:rPr>
                <w:rStyle w:val="row-content"/>
              </w:rPr>
              <w:t xml:space="preserve">See also </w:t>
            </w:r>
            <w:hyperlink w:history="true" r:id="R01667b8f6a334620">
              <w:r>
                <w:rPr>
                  <w:rStyle w:val="Hyperlink"/>
                </w:rPr>
                <w:t xml:space="preserve">Person—gender, text X[X(99)]</w:t>
              </w:r>
            </w:hyperlink>
          </w:p>
          <w:p>
            <w:pPr>
              <w:pStyle w:val="registration-status"/>
              <w:spacing w:before="0" w:after="0"/>
            </w:pPr>
            <w:hyperlink w:history="true" r:id="R0facee1fea444b26">
              <w:r>
                <w:rPr>
                  <w:rStyle w:val="Hyperlink"/>
                  <w:color w:val="244061"/>
                </w:rPr>
                <w:t xml:space="preserve">Health</w:t>
              </w:r>
            </w:hyperlink>
            <w:r>
              <w:rPr>
                <w:rStyle w:val="row-content"/>
                <w:color w:val="244061"/>
              </w:rPr>
              <w:t xml:space="preserve">, Superseded 15/02/2022</w:t>
            </w:r>
          </w:p>
          <w:p>
            <w:r>
              <w:br/>
            </w:r>
            <w:r>
              <w:rPr>
                <w:rStyle w:val="row-content"/>
              </w:rPr>
              <w:t xml:space="preserve">See also </w:t>
            </w:r>
            <w:hyperlink w:history="true" r:id="R0143b2d29d02499b">
              <w:r>
                <w:rPr>
                  <w:rStyle w:val="Hyperlink"/>
                </w:rPr>
                <w:t xml:space="preserve">Person—sex, code X</w:t>
              </w:r>
            </w:hyperlink>
          </w:p>
          <w:p>
            <w:pPr>
              <w:pStyle w:val="registration-status"/>
              <w:spacing w:before="0" w:after="0"/>
            </w:pPr>
            <w:hyperlink w:history="true" r:id="Rf5d9a38341fb4baf">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b610b7bb612749c7">
              <w:r>
                <w:rPr>
                  <w:rStyle w:val="Hyperlink"/>
                  <w:color w:val="244061"/>
                </w:rPr>
                <w:t xml:space="preserve">Health</w:t>
              </w:r>
            </w:hyperlink>
            <w:r>
              <w:rPr>
                <w:rStyle w:val="row-content"/>
                <w:color w:val="244061"/>
              </w:rPr>
              <w:t xml:space="preserve">, Superseded 15/02/2022</w:t>
            </w:r>
          </w:p>
          <w:p>
            <w:pPr>
              <w:pStyle w:val="registration-status"/>
              <w:spacing w:before="0" w:after="0"/>
            </w:pPr>
            <w:hyperlink w:history="true" r:id="R8a557d23ee57437d">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3fd66da0dcc045b5">
              <w:r>
                <w:rPr>
                  <w:rStyle w:val="Hyperlink"/>
                  <w:color w:val="244061"/>
                </w:rPr>
                <w:t xml:space="preserve">Indigenous</w:t>
              </w:r>
            </w:hyperlink>
            <w:r>
              <w:rPr>
                <w:rStyle w:val="row-content"/>
                <w:color w:val="244061"/>
              </w:rPr>
              <w:t xml:space="preserve">, Superseded 27/08/2023</w:t>
            </w:r>
          </w:p>
          <w:p>
            <w:pPr>
              <w:pStyle w:val="registration-status"/>
              <w:spacing w:before="0" w:after="0"/>
            </w:pPr>
            <w:hyperlink w:history="true" r:id="R2c04dca8eee347c0">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c0b53cd18546a6">
              <w:r>
                <w:rPr>
                  <w:rStyle w:val="Hyperlink"/>
                </w:rPr>
                <w:t xml:space="preserve">Mental Health Carer Experience of Service NBEDS</w:t>
              </w:r>
            </w:hyperlink>
          </w:p>
          <w:p>
            <w:pPr>
              <w:pStyle w:val="registration-status"/>
              <w:spacing w:before="0" w:after="0"/>
            </w:pPr>
            <w:hyperlink w:history="true" r:id="R0c0d72f5decb472a">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30 of the Mental Health Carer Experience Survey. The full question is:</w:t>
            </w:r>
          </w:p>
          <w:p>
            <w:r>
              <w:rPr>
                <w:rStyle w:val="row-content"/>
              </w:rPr>
              <w:t xml:space="preserve">30. What is your gender?</w:t>
            </w:r>
          </w:p>
          <w:p>
            <w:r>
              <w:br/>
            </w:r>
            <w:r>
              <w:br/>
            </w:r>
            <w:hyperlink w:history="true" r:id="R72b8e849772c4fd8">
              <w:r>
                <w:rPr>
                  <w:rStyle w:val="Hyperlink"/>
                </w:rPr>
                <w:t xml:space="preserve">Your Experience of Service National Best Endeavours Data Set </w:t>
              </w:r>
            </w:hyperlink>
          </w:p>
          <w:p>
            <w:pPr>
              <w:pStyle w:val="registration-status"/>
              <w:spacing w:before="0" w:after="0"/>
            </w:pPr>
            <w:hyperlink w:history="true" r:id="Rff25174e38e948f0">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the gender question of the YES survey instrument. The full question is: what is your gender?</w:t>
            </w:r>
          </w:p>
          <w:p>
            <w:r>
              <w:br/>
            </w:r>
            <w:r>
              <w:br/>
            </w:r>
            <w:hyperlink w:history="true" r:id="Re1c121c555dc46ad">
              <w:r>
                <w:rPr>
                  <w:rStyle w:val="Hyperlink"/>
                </w:rPr>
                <w:t xml:space="preserve">Your Experience of Service National Best Endeavours Data Set 2019–</w:t>
              </w:r>
            </w:hyperlink>
          </w:p>
          <w:p>
            <w:pPr>
              <w:pStyle w:val="registration-status"/>
              <w:spacing w:before="0" w:after="0"/>
            </w:pPr>
            <w:hyperlink w:history="true" r:id="Rb0d4ee14ca4c42cd">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the gender question of the YES survey instrument. The full question is: what is your gender?</w:t>
            </w:r>
          </w:p>
          <w:p>
            <w:r>
              <w:br/>
            </w:r>
            <w:r>
              <w:br/>
            </w:r>
          </w:p>
        </w:tc>
      </w:tr>
    </w:tbl>
    <w:p/>
    <w:tbl>
      <w:tblPr>
        <w:tblStyle w:val="TableGrid"/>
        <w:tblW w:w="0" w:type="auto"/>
      </w:tblPr>
    </w:tbl>
    <w:p>
      <w:r>
        <w:br/>
      </w:r>
    </w:p>
    <w:sectPr>
      <w:footerReference xmlns:r="http://schemas.openxmlformats.org/officeDocument/2006/relationships" w:type="default" r:id="R30a4070cecd148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635994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292c7daf2248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a4070cecd1487d" /><Relationship Type="http://schemas.openxmlformats.org/officeDocument/2006/relationships/header" Target="/word/header1.xml" Id="R0d272d829613470d" /><Relationship Type="http://schemas.openxmlformats.org/officeDocument/2006/relationships/settings" Target="/word/settings.xml" Id="R6400d60c0ae04110" /><Relationship Type="http://schemas.openxmlformats.org/officeDocument/2006/relationships/styles" Target="/word/styles.xml" Id="R9a8745fa93454d6a" /><Relationship Type="http://schemas.openxmlformats.org/officeDocument/2006/relationships/numbering" Target="/word/numbering.xml" Id="Ra261edab29fc4b38" /><Relationship Type="http://schemas.openxmlformats.org/officeDocument/2006/relationships/hyperlink" Target="https://meteor.aihw.gov.au/RegistrationAuthority/12" TargetMode="External" Id="R23905bde812a4b7d" /><Relationship Type="http://schemas.openxmlformats.org/officeDocument/2006/relationships/hyperlink" Target="https://meteor.aihw.gov.au/content/635978" TargetMode="External" Id="R4d4915fe487b4935" /><Relationship Type="http://schemas.openxmlformats.org/officeDocument/2006/relationships/hyperlink" Target="https://meteor.aihw.gov.au/content/635944" TargetMode="External" Id="Rb3512958efbb4d48" /><Relationship Type="http://schemas.openxmlformats.org/officeDocument/2006/relationships/hyperlink" Target="https://meteor.aihw.gov.au/content/528966" TargetMode="External" Id="R5665f19d832346fc" /><Relationship Type="http://schemas.openxmlformats.org/officeDocument/2006/relationships/hyperlink" Target="http://abs.gov.au/ausstats/abs@.nsf/latestProducts/1200.0.55.012Media Release12016" TargetMode="External" Id="R62c519c8e72f48dd" /><Relationship Type="http://schemas.openxmlformats.org/officeDocument/2006/relationships/hyperlink" Target="https://www.ag.gov.au/Publications/Pages/AustralianGovernmentGuidelinesontheRecognitionofSexandGender.aspx" TargetMode="External" Id="R52920ef5de2c4da3" /><Relationship Type="http://schemas.openxmlformats.org/officeDocument/2006/relationships/hyperlink" Target="https://meteor.aihw.gov.au/content/637351" TargetMode="External" Id="R33d106fa48694869" /><Relationship Type="http://schemas.openxmlformats.org/officeDocument/2006/relationships/hyperlink" Target="http://www.abs.gov.au/ausstats/abs@.nsf/mf/1200.0.55.012" TargetMode="External" Id="Rc9fe6292932148a8" /><Relationship Type="http://schemas.openxmlformats.org/officeDocument/2006/relationships/hyperlink" Target="http://abs.gov.au/ausstats/abs@.nsf/latestProducts/1200.0.55.012Media Release12016" TargetMode="External" Id="R8c5958cab4cb42dd" /><Relationship Type="http://schemas.openxmlformats.org/officeDocument/2006/relationships/hyperlink" Target="https://www.ag.gov.au/Publications/Pages/AustralianGovernmentGuidelinesontheRecognitionofSexandGender.aspx" TargetMode="External" Id="R551050e63d934941" /><Relationship Type="http://schemas.openxmlformats.org/officeDocument/2006/relationships/hyperlink" Target="https://meteor.aihw.gov.au/content/521492" TargetMode="External" Id="Rc2e6452cd90045f1" /><Relationship Type="http://schemas.openxmlformats.org/officeDocument/2006/relationships/hyperlink" Target="https://meteor.aihw.gov.au/RegistrationAuthority/6" TargetMode="External" Id="R96ef27b854ca497f" /><Relationship Type="http://schemas.openxmlformats.org/officeDocument/2006/relationships/hyperlink" Target="https://meteor.aihw.gov.au/content/741842" TargetMode="External" Id="Rdac9e3138cdd4797" /><Relationship Type="http://schemas.openxmlformats.org/officeDocument/2006/relationships/hyperlink" Target="https://meteor.aihw.gov.au/RegistrationAuthority/19" TargetMode="External" Id="R866c6c08c1f54297" /><Relationship Type="http://schemas.openxmlformats.org/officeDocument/2006/relationships/hyperlink" Target="https://meteor.aihw.gov.au/RegistrationAuthority/24" TargetMode="External" Id="R36cdd983c45e46c6" /><Relationship Type="http://schemas.openxmlformats.org/officeDocument/2006/relationships/hyperlink" Target="https://meteor.aihw.gov.au/RegistrationAuthority/12" TargetMode="External" Id="Rf96e90d224134344" /><Relationship Type="http://schemas.openxmlformats.org/officeDocument/2006/relationships/hyperlink" Target="https://meteor.aihw.gov.au/content/637351" TargetMode="External" Id="R01667b8f6a334620" /><Relationship Type="http://schemas.openxmlformats.org/officeDocument/2006/relationships/hyperlink" Target="https://meteor.aihw.gov.au/RegistrationAuthority/12" TargetMode="External" Id="R0facee1fea444b26" /><Relationship Type="http://schemas.openxmlformats.org/officeDocument/2006/relationships/hyperlink" Target="https://meteor.aihw.gov.au/content/635126" TargetMode="External" Id="R0143b2d29d02499b" /><Relationship Type="http://schemas.openxmlformats.org/officeDocument/2006/relationships/hyperlink" Target="https://meteor.aihw.gov.au/RegistrationAuthority/13" TargetMode="External" Id="Rf5d9a38341fb4baf" /><Relationship Type="http://schemas.openxmlformats.org/officeDocument/2006/relationships/hyperlink" Target="https://meteor.aihw.gov.au/RegistrationAuthority/12" TargetMode="External" Id="Rb610b7bb612749c7" /><Relationship Type="http://schemas.openxmlformats.org/officeDocument/2006/relationships/hyperlink" Target="https://meteor.aihw.gov.au/RegistrationAuthority/14" TargetMode="External" Id="R8a557d23ee57437d" /><Relationship Type="http://schemas.openxmlformats.org/officeDocument/2006/relationships/hyperlink" Target="https://meteor.aihw.gov.au/RegistrationAuthority/6" TargetMode="External" Id="R3fd66da0dcc045b5" /><Relationship Type="http://schemas.openxmlformats.org/officeDocument/2006/relationships/hyperlink" Target="https://meteor.aihw.gov.au/RegistrationAuthority/4" TargetMode="External" Id="R2c04dca8eee347c0" /><Relationship Type="http://schemas.openxmlformats.org/officeDocument/2006/relationships/hyperlink" Target="https://meteor.aihw.gov.au/content/745391" TargetMode="External" Id="Rc0c0b53cd18546a6" /><Relationship Type="http://schemas.openxmlformats.org/officeDocument/2006/relationships/hyperlink" Target="https://meteor.aihw.gov.au/RegistrationAuthority/12" TargetMode="External" Id="R0c0d72f5decb472a" /><Relationship Type="http://schemas.openxmlformats.org/officeDocument/2006/relationships/hyperlink" Target="https://meteor.aihw.gov.au/content/635068" TargetMode="External" Id="R72b8e849772c4fd8" /><Relationship Type="http://schemas.openxmlformats.org/officeDocument/2006/relationships/hyperlink" Target="https://meteor.aihw.gov.au/RegistrationAuthority/12" TargetMode="External" Id="Rff25174e38e948f0" /><Relationship Type="http://schemas.openxmlformats.org/officeDocument/2006/relationships/hyperlink" Target="https://meteor.aihw.gov.au/content/738452" TargetMode="External" Id="Re1c121c555dc46ad" /><Relationship Type="http://schemas.openxmlformats.org/officeDocument/2006/relationships/hyperlink" Target="https://meteor.aihw.gov.au/RegistrationAuthority/12" TargetMode="External" Id="Rb0d4ee14ca4c42cd" /></Relationships>
</file>

<file path=word/_rels/header1.xml.rels>&#65279;<?xml version="1.0" encoding="utf-8"?><Relationships xmlns="http://schemas.openxmlformats.org/package/2006/relationships"><Relationship Type="http://schemas.openxmlformats.org/officeDocument/2006/relationships/image" Target="/media/image.png" Id="R48292c7daf22480c" /></Relationships>
</file>