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ed063f64ff4d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71eba346e45ff">
              <w:r>
                <w:rPr>
                  <w:rStyle w:val="Hyperlink"/>
                  <w:color w:val="244061"/>
                </w:rPr>
                <w:t xml:space="preserve">Health</w:t>
              </w:r>
            </w:hyperlink>
            <w:r>
              <w:rPr>
                <w:rStyle w:val="row-content"/>
                <w:color w:val="244061"/>
              </w:rPr>
              <w:t xml:space="preserve">, Superseded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been revised and is therefore being reported for all years of data available (for 2013–14, 2014–15 and 2015–16) from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to that previously published, due to the change in specifications, clarification of the scope with data providers and retrospective corrections of data.</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Records which reported dates which resulted in negative waiting times were not permitted. </w:t>
            </w:r>
          </w:p>
          <w:p>
            <w:pPr>
              <w:pStyle w:val="ListParagraph"/>
              <w:numPr>
                <w:ilvl w:val="0"/>
                <w:numId w:val="2"/>
              </w:numPr>
            </w:pPr>
            <w:r>
              <w:rPr>
                <w:rStyle w:val="row-content-rich-text"/>
              </w:rPr>
              <w:t xml:space="preserve">Records with waiting times of zero days are included for calculations of waiting times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w:t>
            </w:r>
          </w:p>
          <w:p>
            <w:pPr>
              <w:pStyle w:val="ListParagraph"/>
              <w:numPr>
                <w:ilvl w:val="0"/>
                <w:numId w:val="2"/>
              </w:numPr>
            </w:pPr>
            <w:r>
              <w:rPr>
                <w:rStyle w:val="row-content-rich-text"/>
              </w:rPr>
              <w:t xml:space="preserve">Data for 2013–14 and 2014–15 do not include New South Wales, Australian Capital Territory or Northern Territory. Data for 2015–16 do not include New South Wales or Northern Territory.</w:t>
            </w:r>
          </w:p>
          <w:p>
            <w:pPr>
              <w:pStyle w:val="ListParagraph"/>
              <w:numPr>
                <w:ilvl w:val="0"/>
                <w:numId w:val="2"/>
              </w:numPr>
            </w:pPr>
            <w:r>
              <w:rPr>
                <w:rStyle w:val="row-content-rich-text"/>
              </w:rPr>
              <w:t xml:space="preserve">Western Australian data only includes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02f4bd92c19402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2013–14, 2014–15 and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3fa598faaffd495c">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METeOR can be accessed at the following AIHW web address:</w:t>
            </w:r>
            <w:r>
              <w:br/>
            </w:r>
            <w:hyperlink w:history="true" r:id="Rec25d1cbc5434328">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wait for public dental care in Australia. The scope of the NMDS is people who received or were offered public dental care in the reporting period in Australia.</w:t>
            </w:r>
          </w:p>
          <w:p>
            <w:pPr>
              <w:spacing w:after="160"/>
            </w:pPr>
            <w:r>
              <w:rPr>
                <w:rStyle w:val="row-content-rich-text"/>
              </w:rPr>
              <w:t xml:space="preserve">The time between </w:t>
            </w:r>
            <w:r>
              <w:rPr>
                <w:rStyle w:val="row-content-rich-text"/>
                <w:i/>
              </w:rPr>
              <w:t xml:space="preserve">listing date</w:t>
            </w:r>
            <w:r>
              <w:rPr>
                <w:rStyle w:val="row-content-rich-text"/>
              </w:rPr>
              <w:t xml:space="preserve"> and </w:t>
            </w:r>
            <w:r>
              <w:rPr>
                <w:rStyle w:val="row-content-rich-text"/>
                <w:i/>
              </w:rPr>
              <w:t xml:space="preserve">date of offer,</w:t>
            </w:r>
            <w:r>
              <w:rPr>
                <w:rStyle w:val="row-content-rich-text"/>
              </w:rPr>
              <w:t xml:space="preserve"> and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w:t>
            </w:r>
            <w:r>
              <w:rPr>
                <w:rStyle w:val="row-content-rich-text"/>
                <w:i/>
              </w:rPr>
              <w:t xml:space="preserve">all</w:t>
            </w:r>
            <w:r>
              <w:rPr>
                <w:rStyle w:val="row-content-rich-text"/>
              </w:rPr>
              <w:t xml:space="preserve"> people aged 18 years or over who received public dental services.</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not published for New South Wales, Australian Capital Territory and Northern Territory. For 2015–16, data are not published for New South Wales and Northern Territory.</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was not permitted</w:t>
            </w:r>
          </w:p>
          <w:p>
            <w:pPr>
              <w:pStyle w:val="ListParagraph"/>
              <w:numPr>
                <w:ilvl w:val="0"/>
                <w:numId w:val="3"/>
              </w:numPr>
            </w:pPr>
            <w:r>
              <w:rPr>
                <w:rStyle w:val="row-content-rich-text"/>
              </w:rPr>
              <w:t xml:space="preserve">data were excluded from waiting times calculations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and so a waiting time could not be calculated. </w:t>
            </w:r>
          </w:p>
          <w:p>
            <w:pPr>
              <w:spacing w:after="160"/>
            </w:pPr>
            <w:r>
              <w:rPr>
                <w:rStyle w:val="row-content-rich-text"/>
              </w:rPr>
              <w:t xml:space="preserve">Waiting times of zero days are included in the analysis of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 as these are considered to be errors in the data.</w:t>
            </w:r>
          </w:p>
          <w:p>
            <w:pPr>
              <w:spacing w:after="160"/>
            </w:pPr>
            <w:r>
              <w:rPr>
                <w:rStyle w:val="row-content-rich-text"/>
              </w:rPr>
              <w:t xml:space="preserve">Only treatments which result in a person being removed from a public dental waiting list are considered to be ‘first visits’.</w:t>
            </w:r>
          </w:p>
          <w:p>
            <w:pPr>
              <w:spacing w:after="160"/>
            </w:pPr>
            <w:r>
              <w:rPr>
                <w:rStyle w:val="row-content-rich-text"/>
              </w:rPr>
              <w:t xml:space="preserve">As 2 separate waiting periods are described in this indicator (i.e. waiting period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and to </w:t>
            </w:r>
            <w:r>
              <w:rPr>
                <w:rStyle w:val="row-content-rich-text"/>
                <w:i/>
              </w:rPr>
              <w:t xml:space="preserve">date of first visit</w:t>
            </w:r>
            <w:r>
              <w:rPr>
                <w:rStyle w:val="row-content-rich-text"/>
              </w:rPr>
              <w:t xml:space="preserve">), the waiting periods calculated may not be based on data relating to the same people. For example, where a record does not record the </w:t>
            </w:r>
            <w:r>
              <w:rPr>
                <w:rStyle w:val="row-content-rich-text"/>
                <w:i/>
              </w:rPr>
              <w:t xml:space="preserve">date of first visit</w:t>
            </w:r>
            <w:r>
              <w:rPr>
                <w:rStyle w:val="row-content-rich-text"/>
              </w:rPr>
              <w:t xml:space="preserve"> (or the </w:t>
            </w:r>
            <w:r>
              <w:rPr>
                <w:rStyle w:val="row-content-rich-text"/>
                <w:i/>
              </w:rPr>
              <w:t xml:space="preserve">date of offer</w:t>
            </w:r>
            <w:r>
              <w:rPr>
                <w:rStyle w:val="row-content-rich-text"/>
              </w:rPr>
              <w:t xml:space="preserve">), the person’s waiting time will only be used in the calculation of one of the measures. Where a person’s </w:t>
            </w:r>
            <w:r>
              <w:rPr>
                <w:rStyle w:val="row-content-rich-text"/>
                <w:i/>
              </w:rPr>
              <w:t xml:space="preserve">date of offer</w:t>
            </w:r>
            <w:r>
              <w:rPr>
                <w:rStyle w:val="row-content-rich-text"/>
              </w:rPr>
              <w:t xml:space="preserve"> falls in a different reporting period to their </w:t>
            </w:r>
            <w:r>
              <w:rPr>
                <w:rStyle w:val="row-content-rich-text"/>
                <w:i/>
              </w:rPr>
              <w:t xml:space="preserve">date of first visit</w:t>
            </w:r>
            <w:r>
              <w:rPr>
                <w:rStyle w:val="row-content-rich-text"/>
              </w:rPr>
              <w:t xml:space="preserve">, the 2 separate waiting periods will be reported separately in the relevant reporting periods.</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commencing a new episode of waiting. Often this places the person immediately at the top of the list, and if the resources are available they will be given an appointment. This policy can result in longer times between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and/or </w:t>
            </w:r>
            <w:r>
              <w:rPr>
                <w:rStyle w:val="row-content-rich-text"/>
                <w:i/>
              </w:rPr>
              <w:t xml:space="preserve">date of offer</w:t>
            </w:r>
            <w:r>
              <w:rPr>
                <w:rStyle w:val="row-content-rich-text"/>
              </w:rPr>
              <w:t xml:space="preserve">.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who require general care before having a denture are treated through the general care waiting list, after which they commence a course of care for a denture. At no point are they added to the denture waiting list.</w:t>
            </w:r>
          </w:p>
          <w:p>
            <w:pPr/>
            <w:r>
              <w:rPr>
                <w:rStyle w:val="row-content-rich-text"/>
              </w:rPr>
              <w:t xml:space="preserve">Data on Indigenous Australians is in some cases problematic and should be interpreted with caution. In some states Indigenous people are not included in the scope as they are treated as a priority group. In Tasmania there was a high proportion of total records for which the Indigenous status of the person was not stated. In some other jurisdictions, the proportion of records in which Indigenous status was not stated is high within specific disaggregations.</w:t>
            </w:r>
            <w:r>
              <w:br/>
            </w:r>
            <w:r>
              <w:rPr>
                <w:rStyle w:val="row-content-rich-text"/>
              </w:rPr>
              <w:t xml:space="preserve">Waiting times data were suppressed where the number of contributing records was under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r>
              <w:br/>
            </w: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are not comparable to that previously published, due to the change in specifications, clarification of the scope with data providers and retrospective corrections of data.</w:t>
            </w:r>
          </w:p>
          <w:p>
            <w:pPr>
              <w:pStyle w:val="ListParagraph"/>
              <w:numPr>
                <w:ilvl w:val="0"/>
                <w:numId w:val="4"/>
              </w:numPr>
            </w:pPr>
            <w:r>
              <w:rPr>
                <w:rStyle w:val="row-content-rich-text"/>
              </w:rPr>
              <w:t xml:space="preserve">Data for jurisdictions are comparable across years. </w:t>
            </w:r>
          </w:p>
          <w:p>
            <w:pPr>
              <w:pStyle w:val="ListParagraph"/>
              <w:numPr>
                <w:ilvl w:val="0"/>
                <w:numId w:val="4"/>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 </w:t>
            </w:r>
          </w:p>
          <w:p>
            <w:pPr>
              <w:pStyle w:val="ListParagraph"/>
              <w:numPr>
                <w:ilvl w:val="0"/>
                <w:numId w:val="4"/>
              </w:numPr>
            </w:pPr>
            <w:r>
              <w:rPr>
                <w:rStyle w:val="row-content-rich-text"/>
              </w:rPr>
              <w:t xml:space="preserve">New South Wales and Australian Capital Territory data were not provided for 2013–14 or 2014–15.</w:t>
            </w:r>
          </w:p>
          <w:p>
            <w:pPr>
              <w:pStyle w:val="ListParagraph"/>
              <w:numPr>
                <w:ilvl w:val="0"/>
                <w:numId w:val="4"/>
              </w:numPr>
            </w:pPr>
            <w:r>
              <w:rPr>
                <w:rStyle w:val="row-content-rich-text"/>
              </w:rPr>
              <w:t xml:space="preserve">Northern Territory data were not published for 2013–14 and 2014–15 and were not provided for 2015–16.</w:t>
            </w:r>
          </w:p>
          <w:p>
            <w:pPr>
              <w:pStyle w:val="ListParagraph"/>
              <w:numPr>
                <w:ilvl w:val="0"/>
                <w:numId w:val="4"/>
              </w:numPr>
            </w:pPr>
            <w:r>
              <w:rPr>
                <w:rStyle w:val="row-content-rich-text"/>
              </w:rPr>
              <w:t xml:space="preserve">Western Australian data only includes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b2fb3560414dc3">
              <w:r>
                <w:rPr>
                  <w:rStyle w:val="Hyperlink"/>
                </w:rPr>
                <w:t xml:space="preserve">National Healthcare Agreement: PI 13-Waiting times for public dentistry, 2016 QS</w:t>
              </w:r>
            </w:hyperlink>
          </w:p>
          <w:p>
            <w:pPr>
              <w:pStyle w:val="registration-status"/>
              <w:spacing w:before="0" w:after="0"/>
            </w:pPr>
            <w:hyperlink w:history="true" r:id="R62e1806c4ec244e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e133308adfe40d4">
              <w:r>
                <w:rPr>
                  <w:rStyle w:val="Hyperlink"/>
                </w:rPr>
                <w:t xml:space="preserve">National Healthcare Agreement: PI 13-Waiting times for public dentistry, 2018 QS</w:t>
              </w:r>
            </w:hyperlink>
          </w:p>
          <w:p>
            <w:pPr>
              <w:pStyle w:val="registration-status"/>
              <w:spacing w:before="0" w:after="0"/>
            </w:pPr>
            <w:hyperlink w:history="true" r:id="R53819da225d74c5a">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946687119524189">
              <w:r>
                <w:rPr>
                  <w:rStyle w:val="Hyperlink"/>
                </w:rPr>
                <w:t xml:space="preserve">National Healthcare Agreement: PI 13–Waiting times for public dentistry, 2017</w:t>
              </w:r>
            </w:hyperlink>
          </w:p>
          <w:p>
            <w:pPr>
              <w:pStyle w:val="registration-status"/>
              <w:spacing w:before="0" w:after="0"/>
            </w:pPr>
            <w:hyperlink w:history="true" r:id="Rd25c8eecc4a844a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b3213c7bf24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19e72913d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213c7bf24496a" /><Relationship Type="http://schemas.openxmlformats.org/officeDocument/2006/relationships/header" Target="/word/header1.xml" Id="R0ed55d9dce9e41b6" /><Relationship Type="http://schemas.openxmlformats.org/officeDocument/2006/relationships/settings" Target="/word/settings.xml" Id="R3078994b4bff4ff8" /><Relationship Type="http://schemas.openxmlformats.org/officeDocument/2006/relationships/styles" Target="/word/styles.xml" Id="R2f25734fdbf24912" /><Relationship Type="http://schemas.openxmlformats.org/officeDocument/2006/relationships/numbering" Target="/word/numbering.xml" Id="R520833cf0b544688" /><Relationship Type="http://schemas.openxmlformats.org/officeDocument/2006/relationships/hyperlink" Target="https://meteor.aihw.gov.au/RegistrationAuthority/12" TargetMode="External" Id="Rf8271eba346e45ff" /><Relationship Type="http://schemas.openxmlformats.org/officeDocument/2006/relationships/hyperlink" Target="http://www.legislation.gov.au/Series/C2004A03450" TargetMode="External" Id="R902f4bd92c194026" /><Relationship Type="http://schemas.openxmlformats.org/officeDocument/2006/relationships/hyperlink" Target="http://www.aihw.gov.au/" TargetMode="External" Id="R3fa598faaffd495c" /><Relationship Type="http://schemas.openxmlformats.org/officeDocument/2006/relationships/hyperlink" Target="https://meteor.aihw.gov.au/content/494562" TargetMode="External" Id="Rec25d1cbc5434328" /><Relationship Type="http://schemas.openxmlformats.org/officeDocument/2006/relationships/hyperlink" Target="https://meteor.aihw.gov.au/content/602217" TargetMode="External" Id="R6bb2fb3560414dc3" /><Relationship Type="http://schemas.openxmlformats.org/officeDocument/2006/relationships/hyperlink" Target="https://meteor.aihw.gov.au/RegistrationAuthority/12" TargetMode="External" Id="R62e1806c4ec244e3" /><Relationship Type="http://schemas.openxmlformats.org/officeDocument/2006/relationships/hyperlink" Target="https://meteor.aihw.gov.au/content/681595" TargetMode="External" Id="Ree133308adfe40d4" /><Relationship Type="http://schemas.openxmlformats.org/officeDocument/2006/relationships/hyperlink" Target="https://meteor.aihw.gov.au/RegistrationAuthority/12" TargetMode="External" Id="R53819da225d74c5a" /><Relationship Type="http://schemas.openxmlformats.org/officeDocument/2006/relationships/hyperlink" Target="https://meteor.aihw.gov.au/content/630017" TargetMode="External" Id="R7946687119524189" /><Relationship Type="http://schemas.openxmlformats.org/officeDocument/2006/relationships/hyperlink" Target="https://meteor.aihw.gov.au/RegistrationAuthority/12" TargetMode="External" Id="Rd25c8eecc4a844a5" /></Relationships>
</file>

<file path=word/_rels/header1.xml.rels>&#65279;<?xml version="1.0" encoding="utf-8"?><Relationships xmlns="http://schemas.openxmlformats.org/package/2006/relationships"><Relationship Type="http://schemas.openxmlformats.org/officeDocument/2006/relationships/image" Target="/media/image.png" Id="Rc0219e72913d469a" /></Relationships>
</file>