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091d209b3e42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fb336bd49486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2015–16, the coverage of the NNAPEDCD is complete for public hospitals with emergency departments that meet the criteria specified in the Non-admitted patient emergency department care (NAPEDC) National Minimum Data Set (NMDS) and the NAPEDC Data Set Specification (DSS).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are not reported to the NNAPEDCD. For 2014–15, it was estimated that 88% of emergency presentations were reported in the NNAPEDCD.</w:t>
            </w:r>
          </w:p>
          <w:p>
            <w:pPr>
              <w:pStyle w:val="ListParagraph"/>
              <w:numPr>
                <w:ilvl w:val="0"/>
                <w:numId w:val="2"/>
              </w:numPr>
            </w:pPr>
            <w:r>
              <w:rPr>
                <w:rStyle w:val="row-content-rich-text"/>
              </w:rPr>
              <w:t xml:space="preserve">For 2015–16, Australian Capital Territory emergency department care information was not available at the time of publication.</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7b41a03e08c4eb5">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9a7a23ac5bf741df">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bb0437b9dffa45d0">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r>
              <w:br/>
            </w:r>
            <w:hyperlink w:history="true" r:id="R8786fd8c84ca475b">
              <w:r>
                <w:rPr>
                  <w:rStyle w:val="Hyperlink"/>
                </w:rPr>
                <w:t xml:space="preserve">http://www.aihw.gov.au/nhissc/</w:t>
              </w:r>
            </w:hyperlink>
            <w:r>
              <w:br/>
            </w:r>
            <w:hyperlink w:history="true" r:id="R44c49c8e25504b86">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2015–16.</w:t>
            </w:r>
          </w:p>
          <w:p>
            <w:pPr>
              <w:spacing w:after="160"/>
            </w:pPr>
            <w:r>
              <w:rPr>
                <w:rStyle w:val="row-content-rich-text"/>
              </w:rPr>
              <w:t xml:space="preserve">The financial year of 2011–12 is the first reporting period that these data are available according the agreed specification.   </w:t>
            </w:r>
          </w:p>
          <w:p>
            <w:pPr/>
            <w:r>
              <w:rPr>
                <w:rStyle w:val="row-content-rich-text"/>
              </w:rPr>
              <w:t xml:space="preserve">For 2015–16, Australian Capital Territory emergency department care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06cf3dee1cdf494b">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31d33343918a4896">
              <w:r>
                <w:rPr>
                  <w:rStyle w:val="Hyperlink"/>
                </w:rPr>
                <w:t xml:space="preserve">/content/index.phtml/itemId/268110</w:t>
              </w:r>
            </w:hyperlink>
          </w:p>
          <w:p>
            <w:pPr>
              <w:spacing w:after="160"/>
            </w:pPr>
            <w:r>
              <w:rPr>
                <w:rStyle w:val="row-content-rich-text"/>
              </w:rPr>
              <w:t xml:space="preserve">The Data Quality Statement for the 2014–15 NNAPEDCD can be accessed on the AIHW website at:</w:t>
            </w:r>
          </w:p>
          <w:p>
            <w:hyperlink w:history="true" r:id="R5fa13acaa8a24957">
              <w:r>
                <w:rPr>
                  <w:rStyle w:val="Hyperlink"/>
                </w:rPr>
                <w:t xml:space="preserve">/content/index.phtml/itemId/621200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and this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and 2015–16,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a4363e91244e1b">
              <w:r>
                <w:rPr>
                  <w:rStyle w:val="Hyperlink"/>
                </w:rPr>
                <w:t xml:space="preserve">National Healthcare Agreement: PI 21b-Waiting times for emergency hospital care: proportion of patients whose length of emergency department stay is less than or equal to four hours, 2016 QS</w:t>
              </w:r>
            </w:hyperlink>
          </w:p>
          <w:p>
            <w:pPr>
              <w:spacing w:before="0" w:after="0"/>
            </w:pPr>
            <w:r>
              <w:rPr>
                <w:rStyle w:val="row-content"/>
                <w:color w:val="244061"/>
              </w:rPr>
              <w:t xml:space="preserve">       </w:t>
            </w:r>
            <w:hyperlink w:history="true" r:id="R7ef9ff9f79834c5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009cc4757a24dcc">
              <w:r>
                <w:rPr>
                  <w:rStyle w:val="Hyperlink"/>
                </w:rPr>
                <w:t xml:space="preserve">National Healthcare Agreement: PI 21b-Waiting times for emergency hospital care: proportion of patients whose length of emergency department stay is less than or equal to four hours, 2018 QS</w:t>
              </w:r>
            </w:hyperlink>
          </w:p>
          <w:p>
            <w:pPr>
              <w:spacing w:before="0" w:after="0"/>
            </w:pPr>
            <w:r>
              <w:rPr>
                <w:rStyle w:val="row-content"/>
                <w:color w:val="244061"/>
              </w:rPr>
              <w:t xml:space="preserve">       </w:t>
            </w:r>
            <w:hyperlink w:history="true" r:id="R85b9987715f140c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08d9bf52f74419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abb32d08c4c74b5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58d9ecb7cde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50bad61854c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d9ecb7cde49f0" /><Relationship Type="http://schemas.openxmlformats.org/officeDocument/2006/relationships/header" Target="/word/header1.xml" Id="Rca04523e62e543f3" /><Relationship Type="http://schemas.openxmlformats.org/officeDocument/2006/relationships/settings" Target="/word/settings.xml" Id="R4346a9358b554471" /><Relationship Type="http://schemas.openxmlformats.org/officeDocument/2006/relationships/styles" Target="/word/styles.xml" Id="R680742b8f6484016" /><Relationship Type="http://schemas.openxmlformats.org/officeDocument/2006/relationships/hyperlink" Target="https://meteor.aihw.gov.au/RegistrationAuthority/12" TargetMode="External" Id="R876fb336bd494860" /><Relationship Type="http://schemas.openxmlformats.org/officeDocument/2006/relationships/numbering" Target="/word/numbering.xml" Id="R9af7c35b680242aa" /><Relationship Type="http://schemas.openxmlformats.org/officeDocument/2006/relationships/hyperlink" Target="https://www.legislation.gov.au/Series/C2004A03450" TargetMode="External" Id="R27b41a03e08c4eb5" /><Relationship Type="http://schemas.openxmlformats.org/officeDocument/2006/relationships/hyperlink" Target="https://www.legislation.gov.au/Series/C2004A03712" TargetMode="External" Id="R9a7a23ac5bf741df" /><Relationship Type="http://schemas.openxmlformats.org/officeDocument/2006/relationships/hyperlink" Target="http://www.aihw.gov.au" TargetMode="External" Id="Rbb0437b9dffa45d0" /><Relationship Type="http://schemas.openxmlformats.org/officeDocument/2006/relationships/hyperlink" Target="http://www.aihw.gov.au/nhissc/" TargetMode="External" Id="R8786fd8c84ca475b" /><Relationship Type="http://schemas.openxmlformats.org/officeDocument/2006/relationships/hyperlink" Target="https://meteor.aihw.gov.au/content/182135" TargetMode="External" Id="R44c49c8e25504b86" /><Relationship Type="http://schemas.openxmlformats.org/officeDocument/2006/relationships/hyperlink" Target="http://www.aihw.gov.au/hospitals/" TargetMode="External" Id="R06cf3dee1cdf494b" /><Relationship Type="http://schemas.openxmlformats.org/officeDocument/2006/relationships/hyperlink" Target="https://meteor.aihw.gov.au/content/268110" TargetMode="External" Id="R31d33343918a4896" /><Relationship Type="http://schemas.openxmlformats.org/officeDocument/2006/relationships/hyperlink" Target="https://meteor.aihw.gov.au/content/621200" TargetMode="External" Id="R5fa13acaa8a24957" /><Relationship Type="http://schemas.openxmlformats.org/officeDocument/2006/relationships/hyperlink" Target="https://meteor.aihw.gov.au/content/600106" TargetMode="External" Id="R7ca4363e91244e1b" /><Relationship Type="http://schemas.openxmlformats.org/officeDocument/2006/relationships/hyperlink" Target="https://meteor.aihw.gov.au/RegistrationAuthority/12" TargetMode="External" Id="R7ef9ff9f79834c5d" /><Relationship Type="http://schemas.openxmlformats.org/officeDocument/2006/relationships/hyperlink" Target="https://meteor.aihw.gov.au/content/681615" TargetMode="External" Id="Rd009cc4757a24dcc" /><Relationship Type="http://schemas.openxmlformats.org/officeDocument/2006/relationships/hyperlink" Target="https://meteor.aihw.gov.au/RegistrationAuthority/12" TargetMode="External" Id="R85b9987715f140c4" /><Relationship Type="http://schemas.openxmlformats.org/officeDocument/2006/relationships/hyperlink" Target="https://meteor.aihw.gov.au/content/630045" TargetMode="External" Id="R008d9bf52f744199" /><Relationship Type="http://schemas.openxmlformats.org/officeDocument/2006/relationships/hyperlink" Target="https://meteor.aihw.gov.au/RegistrationAuthority/12" TargetMode="External" Id="Rabb32d08c4c74b51" /></Relationships>
</file>

<file path=word/_rels/header1.xml.rels>&#65279;<?xml version="1.0" encoding="utf-8"?><Relationships xmlns="http://schemas.openxmlformats.org/package/2006/relationships"><Relationship Type="http://schemas.openxmlformats.org/officeDocument/2006/relationships/image" Target="/media/image.png" Id="R9f850bad61854c81" /></Relationships>
</file>