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52045f0999485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01J – Change in consumer's clinical outcomes,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01J – Change in consumer's clinical outcomes,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01J: Change in consumer's clinical outcomes,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466fe12dd2470e">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mental health-related </w:t>
            </w:r>
            <w:hyperlink w:history="true" r:id="Ra2e31f79bd3349ae">
              <w:r>
                <w:rPr>
                  <w:rStyle w:val="Hyperlink"/>
                </w:rPr>
                <w:t xml:space="preserve">episodes of care</w:t>
              </w:r>
            </w:hyperlink>
            <w:r>
              <w:rPr>
                <w:rStyle w:val="row-content-rich-text"/>
              </w:rPr>
              <w:t xml:space="preserv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specification has been adapted from the indicator </w:t>
            </w:r>
            <w:hyperlink w:history="true" r:id="Rbf217f8e8e204fce">
              <w:r>
                <w:rPr>
                  <w:rStyle w:val="Hyperlink"/>
                </w:rPr>
                <w:t xml:space="preserve">MHS PI 01: Change in consumer's clinical outcomes,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 specialised mental health services aim to reduce symptoms and improve functioning. Their effectiveness can be compared using routinely collected measures. This will assist in service benchmarking and quality improvement.</w:t>
            </w:r>
          </w:p>
          <w:p>
            <w:pPr/>
            <w:r>
              <w:rPr>
                <w:rStyle w:val="row-content-rich-text"/>
              </w:rPr>
              <w:t xml:space="preserve">The implementation of routine mental health outcome measurement in Australia provides the opportunity to monitor the effectiveness of mental health services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eef4826dd44a3a">
              <w:r>
                <w:rPr>
                  <w:rStyle w:val="Hyperlink"/>
                </w:rPr>
                <w:t xml:space="preserve">Key Performance Indicators for Australian Public Mental Health Services (Jurisdictional level version) (2016)</w:t>
              </w:r>
            </w:hyperlink>
          </w:p>
          <w:p>
            <w:pPr>
              <w:pStyle w:val="registration-status"/>
              <w:spacing w:before="0" w:after="0"/>
            </w:pPr>
            <w:hyperlink w:history="true" r:id="R654e54584f954dba">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w:t>
            </w:r>
            <w:hyperlink w:history="true" r:id="R2d3655e9823f4107">
              <w:r>
                <w:rPr>
                  <w:rStyle w:val="Hyperlink"/>
                </w:rPr>
                <w:t xml:space="preserve">Specialised mental health service</w:t>
              </w:r>
            </w:hyperlink>
            <w:r>
              <w:rPr>
                <w:rStyle w:val="row-content-rich-text"/>
              </w:rPr>
              <w:t xml:space="preserve">.</w:t>
            </w:r>
          </w:p>
          <w:p>
            <w:pPr>
              <w:spacing w:after="160"/>
            </w:pPr>
            <w:r>
              <w:rPr>
                <w:rStyle w:val="row-content-rich-text"/>
              </w:rPr>
              <w:t xml:space="preserve">The following episodes of care are excluded:</w:t>
            </w:r>
          </w:p>
          <w:p>
            <w:pPr>
              <w:pStyle w:val="ListParagraph"/>
              <w:numPr>
                <w:ilvl w:val="0"/>
                <w:numId w:val="3"/>
              </w:numPr>
            </w:pPr>
            <w:hyperlink w:history="true" r:id="R2b38754de92a45b6">
              <w:r>
                <w:rPr>
                  <w:rStyle w:val="Hyperlink"/>
                </w:rPr>
                <w:t xml:space="preserve">Brief ambulatory episodes of mental health care</w:t>
              </w:r>
            </w:hyperlink>
            <w:r>
              <w:rPr>
                <w:rStyle w:val="row-content-rich-text"/>
              </w:rPr>
              <w:t xml:space="preserve">;</w:t>
            </w:r>
          </w:p>
          <w:p>
            <w:pPr>
              <w:pStyle w:val="ListParagraph"/>
              <w:numPr>
                <w:ilvl w:val="0"/>
                <w:numId w:val="3"/>
              </w:numPr>
            </w:pPr>
            <w:hyperlink w:history="true" r:id="R0d4daec3cf96480c">
              <w:r>
                <w:rPr>
                  <w:rStyle w:val="Hyperlink"/>
                </w:rPr>
                <w:t xml:space="preserve">Brief inpatient episodes of mental health care</w:t>
              </w:r>
            </w:hyperlink>
            <w:r>
              <w:rPr>
                <w:rStyle w:val="row-content-rich-text"/>
              </w:rPr>
              <w:t xml:space="preserve">;</w:t>
            </w:r>
          </w:p>
          <w:p>
            <w:pPr>
              <w:pStyle w:val="ListParagraph"/>
              <w:numPr>
                <w:ilvl w:val="0"/>
                <w:numId w:val="3"/>
              </w:numPr>
            </w:pPr>
            <w:r>
              <w:rPr>
                <w:rStyle w:val="row-content-rich-text"/>
              </w:rPr>
              <w:t xml:space="preserve">Ambulatory episodes of mental health care that end because of admission to hospital or residential mental health care service (‘reason for collection’ equals change of setting).</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2015 performance reporting: 2014–15.</w:t>
            </w:r>
          </w:p>
          <w:p>
            <w:pPr>
              <w:pStyle w:val="ListParagraph"/>
              <w:numPr>
                <w:ilvl w:val="0"/>
                <w:numId w:val="4"/>
              </w:numPr>
            </w:pPr>
            <w:r>
              <w:rPr>
                <w:rStyle w:val="row-content-rich-text"/>
              </w:rPr>
              <w:t xml:space="preserve">Only the Health of the Nation Outcome Scale (HoNOS) family of measures (including HoNOS, HoNOS65+ and HoNOS Children and Adolescents) is considered in the calculation of this indicator.</w:t>
            </w:r>
          </w:p>
          <w:p>
            <w:pPr>
              <w:pStyle w:val="ListParagraph"/>
              <w:numPr>
                <w:ilvl w:val="0"/>
                <w:numId w:val="4"/>
              </w:numPr>
            </w:pPr>
            <w:r>
              <w:rPr>
                <w:rStyle w:val="row-content-rich-text"/>
              </w:rPr>
              <w:t xml:space="preserve">Outcomes are calculated for the following consumer groups:</w:t>
            </w:r>
            <w:r>
              <w:br/>
            </w:r>
            <w:r>
              <w:rPr>
                <w:rStyle w:val="row-content-rich-text"/>
              </w:rPr>
              <w:t xml:space="preserve">        • Group A: Consumers discharged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 Group B: Consumers discharged from ambulatory care. All people who were discharged from an ambulatory care episode, provided by an ambulatory mental health care service,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are excluded from the analysis that is, where the National Outcome and Casemix Collection (NOCC) ‘reason for collection’ equals change of setting.</w:t>
            </w:r>
            <w:r>
              <w:br/>
            </w:r>
            <w:r>
              <w:rPr>
                <w:rStyle w:val="row-content-rich-text"/>
              </w:rPr>
              <w:t xml:space="preserve">        •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p>
          <w:p>
            <w:pPr>
              <w:pStyle w:val="ListParagraph"/>
              <w:numPr>
                <w:ilvl w:val="0"/>
                <w:numId w:val="4"/>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4"/>
              </w:numPr>
            </w:pPr>
            <w:r>
              <w:rPr>
                <w:rStyle w:val="row-content-rich-text"/>
              </w:rPr>
              <w:t xml:space="preserve">The total score is determined for each individual baseline and follow-up score. This is the sum total of the 12 HoNOS/65+ scales or the first 13 items of the 15 HoNOS Children and Adolescents (HoNOSCA). Where one or more of the HoNOS/65+ or HoNOSCA items have not been completed correctly, the collection occasion should only be regarded as valid and complete if:</w:t>
            </w:r>
            <w:r>
              <w:br/>
            </w:r>
            <w:r>
              <w:rPr>
                <w:rStyle w:val="row-content-rich-text"/>
              </w:rPr>
              <w:t xml:space="preserve">        • For the HoNOS and HoNOS65+: A minimum of 10 of the 12 items have a valid severity rating (i.e. a rating of either 0, 1, 2, 3 or 4);</w:t>
            </w:r>
            <w:r>
              <w:br/>
            </w:r>
            <w:r>
              <w:rPr>
                <w:rStyle w:val="row-content-rich-text"/>
              </w:rPr>
              <w:t xml:space="preserve">        • For the HoNOSCA a minimum of 11 of the first 13 items have a valid severity rating;</w:t>
            </w:r>
            <w:r>
              <w:br/>
            </w:r>
            <w:r>
              <w:rPr>
                <w:rStyle w:val="row-content-rich-text"/>
              </w:rPr>
              <w:t xml:space="preserve">        • There are no corrections made for missing items.</w:t>
            </w:r>
          </w:p>
          <w:p>
            <w:pPr>
              <w:pStyle w:val="ListParagraph"/>
              <w:numPr>
                <w:ilvl w:val="0"/>
                <w:numId w:val="4"/>
              </w:numPr>
            </w:pPr>
            <w:r>
              <w:rPr>
                <w:rStyle w:val="row-content-rich-text"/>
              </w:rPr>
              <w:t xml:space="preserve">Scores are classified as either ‘significant improvement’, ‘significant deterioration’ or ‘no significant change’, based on the effect size statistic.</w:t>
            </w:r>
          </w:p>
          <w:p>
            <w:pPr>
              <w:pStyle w:val="ListParagraph"/>
              <w:numPr>
                <w:ilvl w:val="0"/>
                <w:numId w:val="4"/>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5"/>
              </w:numPr>
            </w:pPr>
            <w:r>
              <w:rPr>
                <w:rStyle w:val="row-content-rich-text"/>
              </w:rPr>
              <w:t xml:space="preserve">For the purposes of this key performance indicator (KPI), a medium effect size of 0.5 is used to assign outcome scores to the 3 outcome categories. A medium effect size is equivalent to an individual change score of at least one half (0.5) of a standard deviation.</w:t>
            </w:r>
          </w:p>
          <w:p>
            <w:pPr>
              <w:pStyle w:val="ListParagraph"/>
              <w:numPr>
                <w:ilvl w:val="0"/>
                <w:numId w:val="5"/>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-0.5 and less than 0.5.</w:t>
            </w:r>
          </w:p>
          <w:p>
            <w:pPr>
              <w:pStyle w:val="ListParagraph"/>
              <w:numPr>
                <w:ilvl w:val="0"/>
                <w:numId w:val="5"/>
              </w:numPr>
            </w:pPr>
            <w:r>
              <w:rPr>
                <w:rStyle w:val="row-content-rich-text"/>
              </w:rPr>
              <w:t xml:space="preserve">Analyses of the 2010–11 national pool of NOCC data identified that for:</w:t>
            </w:r>
            <w:r>
              <w:br/>
            </w:r>
            <w:r>
              <w:rPr>
                <w:rStyle w:val="row-content-rich-text"/>
              </w:rPr>
              <w:t xml:space="preserve">        • Inpatient and ambulatory settings a four point threshold indicates a medium effect size. In practice this means an individual change score of a least four points equates to a medium effect size and significant change. This threshold is the same for all 3 HoNOS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episodes with a completed outcome measure where no significant change was identified</w:t>
            </w:r>
          </w:p>
          <w:p>
            <w:r>
              <w:rPr>
                <w:rStyle w:val="row-content"/>
                <w:b/>
              </w:rPr>
              <w:t xml:space="preserve">Data Source</w:t>
            </w:r>
          </w:p>
          <w:p>
            <w:hyperlink w:history="true" r:id="Rd613d08763c04634">
              <w:r>
                <w:rPr>
                  <w:rStyle w:val="Hyperlink"/>
                </w:rPr>
                <w:t xml:space="preserve">National Outcome and Casemix Collection (NOCC)</w:t>
              </w:r>
            </w:hyperlink>
          </w:p>
          <w:p>
            <w:r>
              <w:rPr>
                <w:rStyle w:val="row-content"/>
                <w:b/>
              </w:rPr>
              <w:t xml:space="preserve">Guide for use</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rPr>
              <w:t xml:space="preserve">Number of episodes with a completed outcome measure where significant deterioration was identified</w:t>
            </w:r>
          </w:p>
          <w:p>
            <w:r>
              <w:rPr>
                <w:rStyle w:val="row-content"/>
                <w:b/>
              </w:rPr>
              <w:t xml:space="preserve">Data Source </w:t>
            </w:r>
          </w:p>
          <w:p>
            <w:hyperlink w:history="true" r:id="R1bb6fab67ada467c">
              <w:r>
                <w:rPr>
                  <w:rStyle w:val="Hyperlink"/>
                </w:rPr>
                <w:t xml:space="preserve">National Outcome and Casemix Collection (NOCC)</w:t>
              </w:r>
            </w:hyperlink>
          </w:p>
          <w:p>
            <w:r>
              <w:rPr>
                <w:rStyle w:val="row-content"/>
                <w:b/>
              </w:rPr>
              <w:t xml:space="preserve">Guide for use</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rPr>
              <w:t xml:space="preserve">Number of episodes with a completed outcome measure where significant improvement was identified</w:t>
            </w:r>
          </w:p>
          <w:p>
            <w:r>
              <w:rPr>
                <w:rStyle w:val="row-content"/>
                <w:b/>
              </w:rPr>
              <w:t xml:space="preserve">Data Source</w:t>
            </w:r>
          </w:p>
          <w:p>
            <w:hyperlink w:history="true" r:id="Rc791db8d95b741e4">
              <w:r>
                <w:rPr>
                  <w:rStyle w:val="Hyperlink"/>
                </w:rPr>
                <w:t xml:space="preserve">National Outcome and Casemix Collection (NOCC)</w:t>
              </w:r>
            </w:hyperlink>
          </w:p>
          <w:p>
            <w:r>
              <w:rPr>
                <w:rStyle w:val="row-content"/>
                <w:b/>
              </w:rPr>
              <w:t xml:space="preserve">Guide for use</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hyperlink w:history="true" r:id="R93f954e0a7d14b31">
              <w:r>
                <w:rPr>
                  <w:rStyle w:val="Hyperlink"/>
                </w:rPr>
                <w:t xml:space="preserve">Person—level of psychiatric symptom severity, Health of the Nation Outcome Scale 65+ score code N</w:t>
              </w:r>
            </w:hyperlink>
          </w:p>
          <w:p>
            <w:r>
              <w:rPr>
                <w:rStyle w:val="row-content"/>
                <w:b/>
              </w:rPr>
              <w:t xml:space="preserve">Guide for use</w:t>
            </w:r>
          </w:p>
          <w:p>
            <w:r>
              <w:rPr>
                <w:rStyle w:val="row-content"/>
              </w:rPr>
              <w:t xml:space="preserve">Data source type: Clinical outcome measure</w:t>
            </w:r>
          </w:p>
          <w:p>
            <w:r>
              <w:rPr>
                <w:rStyle w:val="row-content"/>
                <w:b/>
              </w:rPr>
              <w:t xml:space="preserve">Data Source</w:t>
            </w:r>
          </w:p>
          <w:p>
            <w:hyperlink w:history="true" r:id="R7fdc960e74634d1f">
              <w:r>
                <w:rPr>
                  <w:rStyle w:val="Hyperlink"/>
                </w:rPr>
                <w:t xml:space="preserve">National Outcome and Casemix Collection (NOCC)</w:t>
              </w:r>
            </w:hyperlink>
          </w:p>
          <w:p>
            <w:r>
              <w:rPr>
                <w:rStyle w:val="row-content"/>
              </w:rPr>
              <w:t xml:space="preserve"> </w:t>
            </w:r>
          </w:p>
          <w:p>
            <w:r>
              <w:rPr>
                <w:rStyle w:val="row-content"/>
                <w:b/>
                <w:color w:val="000000"/>
              </w:rPr>
              <w:t xml:space="preserve">Data Element / Data Set</w:t>
            </w:r>
          </w:p>
          <w:p>
            <w:hyperlink w:history="true" r:id="R9bbce7fe80894272">
              <w:r>
                <w:rPr>
                  <w:rStyle w:val="Hyperlink"/>
                </w:rPr>
                <w:t xml:space="preserve">Person—level of psychiatric symptom severity, Health of the Nation Outcome Scale for Children and Adolescents score code N</w:t>
              </w:r>
            </w:hyperlink>
          </w:p>
          <w:p>
            <w:r>
              <w:rPr>
                <w:rStyle w:val="row-content"/>
                <w:b/>
              </w:rPr>
              <w:t xml:space="preserve">Guide for use</w:t>
            </w:r>
          </w:p>
          <w:p>
            <w:r>
              <w:rPr>
                <w:rStyle w:val="row-content"/>
              </w:rPr>
              <w:t xml:space="preserve">Data source type: Clinical outcome measure</w:t>
            </w:r>
          </w:p>
          <w:p>
            <w:r>
              <w:rPr>
                <w:rStyle w:val="row-content"/>
                <w:b/>
              </w:rPr>
              <w:t xml:space="preserve">Data Source</w:t>
            </w:r>
          </w:p>
          <w:p>
            <w:hyperlink w:history="true" r:id="Rc4516cd1f4374881">
              <w:r>
                <w:rPr>
                  <w:rStyle w:val="Hyperlink"/>
                </w:rPr>
                <w:t xml:space="preserve">National Outcome and Casemix Collection (NOCC)</w:t>
              </w:r>
            </w:hyperlink>
          </w:p>
          <w:p>
            <w:r>
              <w:rPr>
                <w:rStyle w:val="row-content"/>
              </w:rPr>
              <w:t xml:space="preserve"> </w:t>
            </w:r>
          </w:p>
          <w:p>
            <w:r>
              <w:rPr>
                <w:rStyle w:val="row-content"/>
                <w:b/>
                <w:color w:val="000000"/>
              </w:rPr>
              <w:t xml:space="preserve">Data Element / Data Set</w:t>
            </w:r>
          </w:p>
          <w:p>
            <w:hyperlink w:history="true" r:id="Rde45888edd9043c1">
              <w:r>
                <w:rPr>
                  <w:rStyle w:val="Hyperlink"/>
                </w:rPr>
                <w:t xml:space="preserve">Person—level of psychiatric symptom severity, Health of the Nation Outcome Scale score code N</w:t>
              </w:r>
            </w:hyperlink>
          </w:p>
          <w:p>
            <w:r>
              <w:rPr>
                <w:rStyle w:val="row-content"/>
                <w:b/>
              </w:rPr>
              <w:t xml:space="preserve">Guide for use</w:t>
            </w:r>
          </w:p>
          <w:p>
            <w:r>
              <w:rPr>
                <w:rStyle w:val="row-content"/>
                <w:b/>
              </w:rPr>
              <w:t xml:space="preserve">Data Source</w:t>
            </w:r>
          </w:p>
          <w:p>
            <w:hyperlink w:history="true" r:id="Rce546c9cdd8b4bbb">
              <w:r>
                <w:rPr>
                  <w:rStyle w:val="Hyperlink"/>
                </w:rPr>
                <w:t xml:space="preserve">National Outcome and Casemix Collection (NOCC)</w:t>
              </w:r>
            </w:hyperlink>
          </w:p>
          <w:p>
            <w:r>
              <w:rPr>
                <w:rStyle w:val="row-content"/>
              </w:rPr>
              <w:t xml:space="preserve">Data source type: Clinical outcome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Total number of episodes with a completed outcome measure of significant improvement, no significant change or significant deterioration</w:t>
            </w:r>
          </w:p>
          <w:p>
            <w:r>
              <w:rPr>
                <w:rStyle w:val="row-content"/>
                <w:b/>
              </w:rPr>
              <w:t xml:space="preserve">Data Source</w:t>
            </w:r>
          </w:p>
          <w:p>
            <w:hyperlink w:history="true" r:id="R8ac2e51d042446a3">
              <w:r>
                <w:rPr>
                  <w:rStyle w:val="Hyperlink"/>
                </w:rPr>
                <w:t xml:space="preserve">National Outcome and Casemix Collection (NOCC)</w:t>
              </w:r>
            </w:hyperlink>
          </w:p>
          <w:p>
            <w:r>
              <w:rPr>
                <w:rStyle w:val="row-content"/>
                <w:b/>
              </w:rPr>
              <w:t xml:space="preserve">Guide for use</w:t>
            </w:r>
          </w:p>
          <w:p>
            <w:r>
              <w:rPr>
                <w:rStyle w:val="row-content"/>
              </w:rPr>
              <w:t xml:space="preserve">Data source type: Clinical outcome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attributes: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72bd53406549fa">
              <w:r>
                <w:rPr>
                  <w:rStyle w:val="Hyperlink"/>
                </w:rPr>
                <w:t xml:space="preserve">Person—age, total years N[NN]</w:t>
              </w:r>
            </w:hyperlink>
          </w:p>
          <w:p>
            <w:r>
              <w:rPr>
                <w:rStyle w:val="row-content"/>
                <w:b/>
              </w:rPr>
              <w:t xml:space="preserve">Guide for use</w:t>
            </w:r>
          </w:p>
          <w:p>
            <w:r>
              <w:rPr>
                <w:rStyle w:val="row-content"/>
              </w:rPr>
              <w:t xml:space="preserve">Age to be calculated as at start of the episode of care.</w:t>
            </w:r>
          </w:p>
          <w:p>
            <w:r>
              <w:rPr>
                <w:rStyle w:val="row-content"/>
                <w:b/>
              </w:rPr>
              <w:t xml:space="preserve">Data Source</w:t>
            </w:r>
          </w:p>
          <w:p>
            <w:hyperlink w:history="true" r:id="R08c7dc7900a2446f">
              <w:r>
                <w:rPr>
                  <w:rStyle w:val="Hyperlink"/>
                </w:rPr>
                <w:t xml:space="preserve">National Outcome and Casemix Collection (NOCC)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c547a6f6f4243a3">
              <w:r>
                <w:rPr>
                  <w:rStyle w:val="Hyperlink"/>
                </w:rPr>
                <w:t xml:space="preserve">Effective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Department of Health compiles all state and territory consumer outcomes data on an annual data submission basis. However, NOCC does not allow linkage of episodes of care across financial years. This limitation does not exist for states and territories own data sets.</w:t>
            </w:r>
          </w:p>
          <w:p>
            <w:pPr/>
            <w:r>
              <w:rPr>
                <w:rStyle w:val="row-content-rich-text"/>
              </w:rPr>
              <w:t xml:space="preserve">Compared to data constructed from state and territory datasets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 in consumers’ clinical outcomes is not presented for states and territories with less than 200 unique consumer outcomes identifiable within the reference period. States and territories excluded from individual publication are used to calculate the change in consumers’ clinical outcomes for Australia.</w:t>
            </w:r>
          </w:p>
          <w:p>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8821b17ed643de">
              <w:r>
                <w:rPr>
                  <w:rStyle w:val="Hyperlink"/>
                </w:rPr>
                <w:t xml:space="preserve">KPIs for Australian Public Mental Health Services: PI 01J – Change in consumer's clinical outcomes, 2015</w:t>
              </w:r>
            </w:hyperlink>
          </w:p>
          <w:p>
            <w:pPr>
              <w:pStyle w:val="registration-status"/>
              <w:spacing w:before="0" w:after="0"/>
            </w:pPr>
            <w:hyperlink w:history="true" r:id="R240f41b4aba34df4">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da82b4cbd8a144cc">
              <w:r>
                <w:rPr>
                  <w:rStyle w:val="Hyperlink"/>
                </w:rPr>
                <w:t xml:space="preserve">KPIs for Australian Public Mental Health Services: PI 01J – Change in consumer's clinical outcomes, 2017</w:t>
              </w:r>
            </w:hyperlink>
          </w:p>
          <w:p>
            <w:pPr>
              <w:pStyle w:val="registration-status"/>
              <w:spacing w:before="0" w:after="0"/>
            </w:pPr>
            <w:hyperlink w:history="true" r:id="Rc6e5c75d73694c79">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c9f91aa612eb49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b6bd94187d46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f91aa612eb49fd" /><Relationship Type="http://schemas.openxmlformats.org/officeDocument/2006/relationships/header" Target="/word/header1.xml" Id="R60956ca790554df3" /><Relationship Type="http://schemas.openxmlformats.org/officeDocument/2006/relationships/settings" Target="/word/settings.xml" Id="R25bb84b8399a47df" /><Relationship Type="http://schemas.openxmlformats.org/officeDocument/2006/relationships/styles" Target="/word/styles.xml" Id="R570b7dae505f4fba" /><Relationship Type="http://schemas.openxmlformats.org/officeDocument/2006/relationships/numbering" Target="/word/numbering.xml" Id="R9feeefe0ae41420b" /><Relationship Type="http://schemas.openxmlformats.org/officeDocument/2006/relationships/hyperlink" Target="https://meteor.aihw.gov.au/RegistrationAuthority/12" TargetMode="External" Id="R8f466fe12dd2470e" /><Relationship Type="http://schemas.openxmlformats.org/officeDocument/2006/relationships/hyperlink" Target="https://meteor.aihw.gov.au/content/268978" TargetMode="External" Id="Ra2e31f79bd3349ae" /><Relationship Type="http://schemas.openxmlformats.org/officeDocument/2006/relationships/hyperlink" Target="https://meteor.aihw.gov.au/content/584024" TargetMode="External" Id="Rbf217f8e8e204fce" /><Relationship Type="http://schemas.openxmlformats.org/officeDocument/2006/relationships/hyperlink" Target="https://meteor.aihw.gov.au/content/630262" TargetMode="External" Id="Rd9eef4826dd44a3a" /><Relationship Type="http://schemas.openxmlformats.org/officeDocument/2006/relationships/hyperlink" Target="https://meteor.aihw.gov.au/RegistrationAuthority/12" TargetMode="External" Id="R654e54584f954dba" /><Relationship Type="http://schemas.openxmlformats.org/officeDocument/2006/relationships/hyperlink" Target="https://meteor.aihw.gov.au/content/268984" TargetMode="External" Id="R2d3655e9823f4107" /><Relationship Type="http://schemas.openxmlformats.org/officeDocument/2006/relationships/hyperlink" Target="https://meteor.aihw.gov.au/content/605545" TargetMode="External" Id="R2b38754de92a45b6" /><Relationship Type="http://schemas.openxmlformats.org/officeDocument/2006/relationships/hyperlink" Target="https://meteor.aihw.gov.au/content/605550" TargetMode="External" Id="R0d4daec3cf96480c" /><Relationship Type="http://schemas.openxmlformats.org/officeDocument/2006/relationships/hyperlink" Target="https://meteor.aihw.gov.au/content/636931" TargetMode="External" Id="Rd613d08763c04634" /><Relationship Type="http://schemas.openxmlformats.org/officeDocument/2006/relationships/hyperlink" Target="https://meteor.aihw.gov.au/content/636931" TargetMode="External" Id="R1bb6fab67ada467c" /><Relationship Type="http://schemas.openxmlformats.org/officeDocument/2006/relationships/hyperlink" Target="https://meteor.aihw.gov.au/content/636931" TargetMode="External" Id="Rc791db8d95b741e4" /><Relationship Type="http://schemas.openxmlformats.org/officeDocument/2006/relationships/hyperlink" Target="https://meteor.aihw.gov.au/content/449363" TargetMode="External" Id="R93f954e0a7d14b31" /><Relationship Type="http://schemas.openxmlformats.org/officeDocument/2006/relationships/hyperlink" Target="https://meteor.aihw.gov.au/content/636931" TargetMode="External" Id="R7fdc960e74634d1f" /><Relationship Type="http://schemas.openxmlformats.org/officeDocument/2006/relationships/hyperlink" Target="https://meteor.aihw.gov.au/content/575043" TargetMode="External" Id="R9bbce7fe80894272" /><Relationship Type="http://schemas.openxmlformats.org/officeDocument/2006/relationships/hyperlink" Target="https://meteor.aihw.gov.au/content/636931" TargetMode="External" Id="Rc4516cd1f4374881" /><Relationship Type="http://schemas.openxmlformats.org/officeDocument/2006/relationships/hyperlink" Target="https://meteor.aihw.gov.au/content/575166" TargetMode="External" Id="Rde45888edd9043c1" /><Relationship Type="http://schemas.openxmlformats.org/officeDocument/2006/relationships/hyperlink" Target="https://meteor.aihw.gov.au/content/636931" TargetMode="External" Id="Rce546c9cdd8b4bbb" /><Relationship Type="http://schemas.openxmlformats.org/officeDocument/2006/relationships/hyperlink" Target="https://meteor.aihw.gov.au/content/636931" TargetMode="External" Id="R8ac2e51d042446a3" /><Relationship Type="http://schemas.openxmlformats.org/officeDocument/2006/relationships/hyperlink" Target="https://meteor.aihw.gov.au/content/290420" TargetMode="External" Id="R8972bd53406549fa" /><Relationship Type="http://schemas.openxmlformats.org/officeDocument/2006/relationships/hyperlink" Target="https://meteor.aihw.gov.au/content/636931" TargetMode="External" Id="R08c7dc7900a2446f" /><Relationship Type="http://schemas.openxmlformats.org/officeDocument/2006/relationships/hyperlink" Target="https://meteor.aihw.gov.au/content/584872" TargetMode="External" Id="Rdc547a6f6f4243a3" /><Relationship Type="http://schemas.openxmlformats.org/officeDocument/2006/relationships/hyperlink" Target="https://meteor.aihw.gov.au/content/584821" TargetMode="External" Id="Ree8821b17ed643de" /><Relationship Type="http://schemas.openxmlformats.org/officeDocument/2006/relationships/hyperlink" Target="https://meteor.aihw.gov.au/RegistrationAuthority/12" TargetMode="External" Id="R240f41b4aba34df4" /><Relationship Type="http://schemas.openxmlformats.org/officeDocument/2006/relationships/hyperlink" Target="https://meteor.aihw.gov.au/content/663800" TargetMode="External" Id="Rda82b4cbd8a144cc" /><Relationship Type="http://schemas.openxmlformats.org/officeDocument/2006/relationships/hyperlink" Target="https://meteor.aihw.gov.au/RegistrationAuthority/12" TargetMode="External" Id="Rc6e5c75d73694c79" /></Relationships>
</file>

<file path=word/_rels/header1.xml.rels>&#65279;<?xml version="1.0" encoding="utf-8"?><Relationships xmlns="http://schemas.openxmlformats.org/package/2006/relationships"><Relationship Type="http://schemas.openxmlformats.org/officeDocument/2006/relationships/image" Target="/media/image.png" Id="R7cb6bd94187d467d" /></Relationships>
</file>