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9453736554b8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e8acd14cc467e">
              <w:r>
                <w:rPr>
                  <w:rStyle w:val="Hyperlink"/>
                  <w:color w:val="244061"/>
                </w:rPr>
                <w:t xml:space="preserve">AIHW Data Quality Statements</w:t>
              </w:r>
            </w:hyperlink>
            <w:r>
              <w:rPr>
                <w:rStyle w:val="row-content"/>
                <w:color w:val="244061"/>
              </w:rPr>
              <w:t xml:space="preserve">, Superseded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all specialised mental health services managed or funded by state or territory health authorities as specified by the Mental health establishments (MHE) National Minimum Data Set (NMDS) (see </w:t>
            </w:r>
            <w:hyperlink w:history="true" r:id="Rd445531d67104dcd">
              <w:r>
                <w:rPr>
                  <w:rStyle w:val="Hyperlink"/>
                </w:rPr>
                <w:t xml:space="preserve">link</w:t>
              </w:r>
            </w:hyperlink>
            <w:r>
              <w:rPr>
                <w:rStyle w:val="row-content-rich-text"/>
              </w:rPr>
              <w:t xml:space="preserve">).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The statistical units for the MHE NMDS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 Ambulatory services managed by non-government organisations (NGOs) are not defined as statistical units for this NMDS.</w:t>
            </w:r>
          </w:p>
          <w:p>
            <w:pPr>
              <w:spacing w:after="160"/>
            </w:pPr>
            <w:r>
              <w:rPr>
                <w:rStyle w:val="row-content-rich-text"/>
              </w:rPr>
              <w:t xml:space="preserve">The NMHED includes data from 1992–93 to 2013–14.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429298bcc1f4f5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4f6bb44490594afc">
              <w:r>
                <w:rPr>
                  <w:rStyle w:val="Hyperlink"/>
                  <w:i/>
                </w:rPr>
                <w:t xml:space="preserve">Australian Institute of Health and Welfare Act 1987</w:t>
              </w:r>
            </w:hyperlink>
            <w:r>
              <w:rPr>
                <w:rStyle w:val="row-content-rich-text"/>
              </w:rPr>
              <w:t xml:space="preserve">, in conjunction with compliance to the </w:t>
            </w:r>
            <w:hyperlink w:history="true" r:id="R3491168a80e745ac">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4ce1fc758744a0c">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4c6455568a4d46b1">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which are reported to Community Mental Health Care NMDS (METeOR ID </w:t>
            </w:r>
            <w:hyperlink w:history="true" r:id="R0b260a83e2784d99">
              <w:r>
                <w:rPr>
                  <w:rStyle w:val="Hyperlink"/>
                </w:rPr>
                <w:t xml:space="preserve">493658</w:t>
              </w:r>
            </w:hyperlink>
            <w:r>
              <w:rPr>
                <w:rStyle w:val="row-content-rich-text"/>
              </w:rPr>
              <w:t xml:space="preserve">), Residential Mental Health Care NMDS (METeOR ID </w:t>
            </w:r>
            <w:hyperlink w:history="true" r:id="R22a76a99a9e44773">
              <w:r>
                <w:rPr>
                  <w:rStyle w:val="Hyperlink"/>
                </w:rPr>
                <w:t xml:space="preserve">539453</w:t>
              </w:r>
            </w:hyperlink>
            <w:r>
              <w:rPr>
                <w:rStyle w:val="row-content-rich-text"/>
              </w:rPr>
              <w:t xml:space="preserve">), Admitted patient NMDS (METeOR ID </w:t>
            </w:r>
            <w:hyperlink w:history="true" r:id="R14cf5772695f46a0">
              <w:r>
                <w:rPr>
                  <w:rStyle w:val="Hyperlink"/>
                </w:rPr>
                <w:t xml:space="preserve">504646</w:t>
              </w:r>
            </w:hyperlink>
            <w:r>
              <w:rPr>
                <w:rStyle w:val="row-content-rich-text"/>
              </w:rPr>
              <w:t xml:space="preserve">) and Mental Health National Outcomes and Casemix Collection (see </w:t>
            </w:r>
            <w:hyperlink w:history="true" r:id="R3804aef0b4644032">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2013–14, that is, service contacts provided between 1 July 2013 and 30 June 2014. Data for the 2013–14 reference period were supplied to the AIHW at the beginning of May 2015.</w:t>
            </w:r>
          </w:p>
          <w:p>
            <w:pPr/>
            <w:r>
              <w:rPr>
                <w:rStyle w:val="row-content-rich-text"/>
              </w:rPr>
              <w:t xml:space="preserve">The AIHW publishes data from the NMHED in </w:t>
            </w:r>
            <w:hyperlink w:history="true" r:id="Rfd793940aa484ea3">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7c489727a4d8447a">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e7025565284e4b1e">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all specialised mental health services managed or funded by state or territory health authorities. The purpose of the MHE NMDS is to collect information on the characteristics of specialised mental health services (for example, program type and target populations) and summary information on their expenditure, staffing and activity (for example, patient days, available beds, separations, contact and episodes). Specialised psychiatric care provided to patients admitted of wards/units that are not specialised public mental health inpatient units is not in scope of the MHE NMDS.</w:t>
            </w:r>
          </w:p>
          <w:p>
            <w:pPr>
              <w:spacing w:after="160"/>
            </w:pPr>
            <w:r>
              <w:rPr>
                <w:rStyle w:val="row-content-rich-text"/>
              </w:rPr>
              <w:t xml:space="preserve">Expenditure data comprises direct and indirect expenditure incurred at the individual service unit level. Some indirect expenditure reported at the organisational and regional level can be directly linked to the provision of services by service units and is apportioned to individual service units. The residual indirect expenditure incurred at the state and territory level and that unapportioned from the organisational or regional level is reported separately from service unit expenditure.</w:t>
            </w:r>
          </w:p>
          <w:p>
            <w:pPr>
              <w:spacing w:after="160"/>
            </w:pPr>
            <w:r>
              <w:rPr>
                <w:rStyle w:val="row-content-rich-text"/>
              </w:rPr>
              <w:t xml:space="preserve">Depreciation is excluded from expenditure data. Constant prices are calculated to adjust for inflation and are referenced to the current year. The scope of the MHE NMDS is restricted to recurrent expenditure as specified by its metadata. Consequently, capital expenditure is out of scope for the collection.</w:t>
            </w:r>
          </w:p>
          <w:p>
            <w:pPr/>
            <w:r>
              <w:rPr>
                <w:rStyle w:val="row-content-rich-text"/>
              </w:rPr>
              <w:t xml:space="preserve">Facilities data include information on the characteristics of these services including the number of beds, the number of full-time-equivalent (FTE) direct care staff, patient days, service type, target population and National Standards for Mental Health Services review status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of the MHE NMDS in-scope mental health services for expenditure, full-time equivalent staff and bed days is essentially complete across jurisdictions and years.</w:t>
            </w:r>
          </w:p>
          <w:p>
            <w:pPr>
              <w:spacing w:after="160"/>
            </w:pPr>
            <w:r>
              <w:rPr>
                <w:rStyle w:val="row-content-rich-text"/>
              </w:rPr>
              <w:t xml:space="preserve">States and territories are primarily responsible for the quality of the MHE NMDS data they provide. However, the Department of Health and the AIHW undertake extensive validation. Validation is conducted in two stages: (1) The compliance stage is overseen by the Department of Health and managed by the AIHW and is concerned with ensuring that the data file will load and is structurally compliant. A non-compliant file is rejected and a new file needs to be submitted. (2) The data validation stage is managed by the AIHW and is primarily concerned with identifying and explaining or fixing inconsistent, anomalous, and exceptional issues, including invalid values, missing data and historical inconsistency. Potential validation errors are queried with jurisdictions, and corrections and resubmissions are made in response to these edit queries. The AIHW does not adjust data to account for possible data errors or missing or incorrect values. Jurisdictions are responsible for adjusting any data that is identified as problematic and re-submitting improved data files.</w:t>
            </w:r>
          </w:p>
          <w:p>
            <w:pPr/>
            <w:r>
              <w:rPr>
                <w:rStyle w:val="row-content-rich-text"/>
              </w:rPr>
              <w:t xml:space="preserve">Data are also subject to ongoing historical validation. Due to this ongoing validation, 2005–06 to 2012–13 data could differ from previous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2013–14. Data should be reported consistently across most jurisdictions and across years within most jurisdictions, with the following exceptions.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628ad51a8b8d45e3">
              <w:r>
                <w:rPr>
                  <w:rStyle w:val="Hyperlink"/>
                </w:rPr>
                <w:t xml:space="preserve">target population</w:t>
              </w:r>
            </w:hyperlink>
            <w:r>
              <w:rPr>
                <w:rStyle w:val="row-content-rich-text"/>
              </w:rPr>
              <w:t xml:space="preserve"> and </w:t>
            </w:r>
            <w:hyperlink w:history="true" r:id="Rd15392e8a9794814">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0ec07c90962440ee">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result in decreased FTE in the other service setting categories for some jurisdictions and may not be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has been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for the purpose of this analysis. In contrast to data presented in the Facilities section, the beds for PARC services are included as delivered by non-government organisations for the purpose of this analysis.</w:t>
            </w:r>
          </w:p>
          <w:p>
            <w:pPr>
              <w:spacing w:after="160"/>
            </w:pPr>
            <w:r>
              <w:rPr>
                <w:rStyle w:val="row-content-rich-text"/>
                <w:i/>
              </w:rPr>
              <w:t xml:space="preserve">Queensland</w:t>
            </w:r>
          </w:p>
          <w:p>
            <w:pPr>
              <w:spacing w:after="160"/>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spacing w:after="160"/>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In 2013–14, FTE data for a small number of Youth hospital services have been reported in the General category at the request of Queensland.</w:t>
            </w:r>
          </w:p>
          <w:p>
            <w:pPr>
              <w:spacing w:after="160"/>
            </w:pPr>
            <w:r>
              <w:rPr>
                <w:rStyle w:val="row-content-rich-text"/>
              </w:rPr>
              <w:t xml:space="preserve">In 2013–14, a review of services resulted in the reclassification of beds from non-acute Older persons services to non-mental health care.</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adult units, which limits comparability with jurisdictions that report these services differently. Queensland does not report any acute forensic services; however, forensic patients can and do access acute care through general units.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w:t>
            </w:r>
          </w:p>
          <w:p>
            <w:pPr>
              <w:spacing w:after="160"/>
            </w:pPr>
            <w:r>
              <w:rPr>
                <w:rStyle w:val="row-content-rich-text"/>
                <w:i/>
              </w:rPr>
              <w:t xml:space="preserve">Australian Capital Territory</w:t>
            </w:r>
          </w:p>
          <w:p>
            <w:pPr>
              <w:spacing w:after="160"/>
            </w:pPr>
            <w:r>
              <w:rPr>
                <w:rStyle w:val="row-content-rich-text"/>
              </w:rPr>
              <w:t xml:space="preserve">ACT average costs for older person’s mental health services during 2006–07 are based on a new 20 bed unit opened in March 2007, in which only 6–10 beds operated due to issues related to staffing resources. This has artificially inflated the average cost of older persons’ mental health services relative to other jurisdictions and other years for the ACT.</w:t>
            </w:r>
          </w:p>
          <w:p>
            <w:pPr/>
            <w:r>
              <w:rPr>
                <w:rStyle w:val="row-content-rich-text"/>
              </w:rPr>
              <w:t xml:space="preserve">FTE data for a small number of residential services reported by Victoria, Western Australia and the Australian Capital Territory as Youth residential services were included in the General category at the request of those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c0b13f193344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c95ed737134b33">
              <w:r>
                <w:rPr>
                  <w:rStyle w:val="Hyperlink"/>
                </w:rPr>
                <w:t xml:space="preserve">Mental Health Establishments NMDS 2014–15: National Mental Health Establishments Database, 2017; Quality Statement</w:t>
              </w:r>
            </w:hyperlink>
          </w:p>
          <w:p>
            <w:pPr>
              <w:pStyle w:val="registration-status"/>
              <w:spacing w:before="0" w:after="0"/>
            </w:pPr>
            <w:hyperlink w:history="true" r:id="R47174f160fcc4fea">
              <w:r>
                <w:rPr>
                  <w:rStyle w:val="Hyperlink"/>
                  <w:color w:val="244061"/>
                </w:rPr>
                <w:t xml:space="preserve">AIHW Data Quality Statements</w:t>
              </w:r>
            </w:hyperlink>
            <w:r>
              <w:rPr>
                <w:rStyle w:val="row-content"/>
                <w:color w:val="244061"/>
              </w:rPr>
              <w:t xml:space="preserve">, Superseded 29/01/2018</w:t>
            </w:r>
          </w:p>
          <w:p>
            <w:r>
              <w:br/>
            </w:r>
          </w:p>
        </w:tc>
      </w:tr>
    </w:tbl>
    <w:p>
      <w:r>
        <w:br/>
      </w:r>
    </w:p>
    <w:sectPr>
      <w:footerReference xmlns:r="http://schemas.openxmlformats.org/officeDocument/2006/relationships" w:type="default" r:id="Rd40ef77980da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aca98e648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ef77980da434e" /><Relationship Type="http://schemas.openxmlformats.org/officeDocument/2006/relationships/header" Target="/word/header1.xml" Id="Raada37f18af04f5d" /><Relationship Type="http://schemas.openxmlformats.org/officeDocument/2006/relationships/settings" Target="/word/settings.xml" Id="R391cc4c839dd41c1" /><Relationship Type="http://schemas.openxmlformats.org/officeDocument/2006/relationships/styles" Target="/word/styles.xml" Id="R3fd2feb0cd884a2d" /><Relationship Type="http://schemas.openxmlformats.org/officeDocument/2006/relationships/hyperlink" Target="https://meteor.aihw.gov.au/RegistrationAuthority/5" TargetMode="External" Id="Rdc9e8acd14cc467e" /><Relationship Type="http://schemas.openxmlformats.org/officeDocument/2006/relationships/hyperlink" Target="https://meteor.aihw.gov.au/content/493652" TargetMode="External" Id="Rd445531d67104dcd" /><Relationship Type="http://schemas.openxmlformats.org/officeDocument/2006/relationships/hyperlink" Target="http://www.comlaw.gov.au/Details/C2004A03450" TargetMode="External" Id="R8429298bcc1f4f57" /><Relationship Type="http://schemas.openxmlformats.org/officeDocument/2006/relationships/hyperlink" Target="http://www.comlaw.gov.au/Details/C2004A03450" TargetMode="External" Id="R4f6bb44490594afc" /><Relationship Type="http://schemas.openxmlformats.org/officeDocument/2006/relationships/hyperlink" Target="http://www.comlaw.gov.au/Details/C2011C00503" TargetMode="External" Id="R3491168a80e745ac" /><Relationship Type="http://schemas.openxmlformats.org/officeDocument/2006/relationships/hyperlink" Target="http://www.aihw.gov.au/" TargetMode="External" Id="R14ce1fc758744a0c" /><Relationship Type="http://schemas.openxmlformats.org/officeDocument/2006/relationships/hyperlink" Target="https://meteor.aihw.gov.au/content/182135" TargetMode="External" Id="R4c6455568a4d46b1" /><Relationship Type="http://schemas.openxmlformats.org/officeDocument/2006/relationships/hyperlink" Target="https://meteor.aihw.gov.au/content/index.phtml/itemId/493658http:/meteor.aihw.gov.au/content/index.phtml/itemId/493658" TargetMode="External" Id="R0b260a83e2784d99" /><Relationship Type="http://schemas.openxmlformats.org/officeDocument/2006/relationships/hyperlink" Target="https://meteor.aihw.gov.au/content/539453" TargetMode="External" Id="R22a76a99a9e44773" /><Relationship Type="http://schemas.openxmlformats.org/officeDocument/2006/relationships/hyperlink" Target="https://meteor.aihw.gov.au/content/504646" TargetMode="External" Id="R14cf5772695f46a0" /><Relationship Type="http://schemas.openxmlformats.org/officeDocument/2006/relationships/hyperlink" Target="http://amhocn.org/home/useful-resources/national-outcomes-and-casemix-collection-nocc" TargetMode="External" Id="R3804aef0b4644032" /><Relationship Type="http://schemas.openxmlformats.org/officeDocument/2006/relationships/hyperlink" Target="http://mhsa.aihw.gov.au/home/" TargetMode="External" Id="Rfd793940aa484ea3" /><Relationship Type="http://schemas.openxmlformats.org/officeDocument/2006/relationships/hyperlink" Target="http://mhsa.aihw.gov.au/home/" TargetMode="External" Id="R7c489727a4d8447a" /><Relationship Type="http://schemas.openxmlformats.org/officeDocument/2006/relationships/hyperlink" Target="https://meteor.aihw.gov.au/content/181162" TargetMode="External" Id="Re7025565284e4b1e" /><Relationship Type="http://schemas.openxmlformats.org/officeDocument/2006/relationships/hyperlink" Target="https://meteor.aihw.gov.au/content/493010" TargetMode="External" Id="R628ad51a8b8d45e3" /><Relationship Type="http://schemas.openxmlformats.org/officeDocument/2006/relationships/hyperlink" Target="https://meteor.aihw.gov.au/content/288889" TargetMode="External" Id="Rd15392e8a9794814" /><Relationship Type="http://schemas.openxmlformats.org/officeDocument/2006/relationships/hyperlink" Target="https://meteor.aihw.gov.au/content/493347" TargetMode="External" Id="R0ec07c90962440ee" /><Relationship Type="http://schemas.openxmlformats.org/officeDocument/2006/relationships/hyperlink" Target="https://meteor.aihw.gov.au/content/246013" TargetMode="External" Id="Reac0b13f19334478" /><Relationship Type="http://schemas.openxmlformats.org/officeDocument/2006/relationships/hyperlink" Target="https://meteor.aihw.gov.au/content/661582" TargetMode="External" Id="R1fc95ed737134b33" /><Relationship Type="http://schemas.openxmlformats.org/officeDocument/2006/relationships/hyperlink" Target="https://meteor.aihw.gov.au/RegistrationAuthority/5" TargetMode="External" Id="R47174f160fcc4fea" /></Relationships>
</file>

<file path=word/_rels/header1.xml.rels>&#65279;<?xml version="1.0" encoding="utf-8"?><Relationships xmlns="http://schemas.openxmlformats.org/package/2006/relationships"><Relationship Type="http://schemas.openxmlformats.org/officeDocument/2006/relationships/image" Target="/media/image.png" Id="R381aca98e648453d" /></Relationships>
</file>