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94db9781134f59" /></Relationships>
</file>

<file path=word/document.xml><?xml version="1.0" encoding="utf-8"?>
<w:document xmlns:r="http://schemas.openxmlformats.org/officeDocument/2006/relationships" xmlns:w="http://schemas.openxmlformats.org/wordprocessingml/2006/main">
  <w:body>
    <w:p>
      <w:pPr>
        <w:pStyle w:val="Title"/>
      </w:pPr>
      <w:r>
        <w:t>National Dental Telephone Interview Survey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Dental Telephone Interview Survey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926d83916b4d49">
              <w:r>
                <w:rPr>
                  <w:rStyle w:val="Hyperlink"/>
                  <w:color w:val="244061"/>
                </w:rPr>
                <w:t xml:space="preserve">AIHW Data Quality Statements</w:t>
              </w:r>
            </w:hyperlink>
            <w:r>
              <w:rPr>
                <w:rStyle w:val="row-content"/>
                <w:color w:val="244061"/>
              </w:rPr>
              <w:t xml:space="preserve">, Standard 27/01/2016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Dental Telephone Interview Survey (NDTIS) is a random sample survey that collects information on the dental health and use of dental services of Australians in all states and territories. The survey includes Australians aged 5 years and over.</w:t>
            </w:r>
          </w:p>
          <w:p>
            <w:pPr>
              <w:pStyle w:val="ListParagraph"/>
              <w:numPr>
                <w:ilvl w:val="0"/>
                <w:numId w:val="2"/>
              </w:numPr>
            </w:pPr>
            <w:r>
              <w:rPr>
                <w:rStyle w:val="row-content-rich-text"/>
              </w:rPr>
              <w:t xml:space="preserve">The NDTIS is a source of nationally representative population data on dental health and use of dental services in Australia.</w:t>
            </w:r>
          </w:p>
          <w:p>
            <w:pPr>
              <w:pStyle w:val="ListParagraph"/>
              <w:numPr>
                <w:ilvl w:val="0"/>
                <w:numId w:val="2"/>
              </w:numPr>
            </w:pPr>
            <w:r>
              <w:rPr>
                <w:rStyle w:val="row-content-rich-text"/>
              </w:rPr>
              <w:t xml:space="preserve">NDTIS is a sample based survey using telephone interview methodology.</w:t>
            </w:r>
          </w:p>
          <w:p>
            <w:pPr>
              <w:pStyle w:val="ListParagraph"/>
              <w:numPr>
                <w:ilvl w:val="0"/>
                <w:numId w:val="2"/>
              </w:numPr>
            </w:pPr>
            <w:r>
              <w:rPr>
                <w:rStyle w:val="row-content-rich-text"/>
              </w:rPr>
              <w:t xml:space="preserve">As with all survey data, these data are subject to sampling error and non-response bias.</w:t>
            </w:r>
          </w:p>
          <w:p>
            <w:pPr>
              <w:pStyle w:val="ListParagraph"/>
              <w:numPr>
                <w:ilvl w:val="0"/>
                <w:numId w:val="2"/>
              </w:numPr>
            </w:pPr>
            <w:r>
              <w:rPr>
                <w:rStyle w:val="row-content-rich-text"/>
              </w:rPr>
              <w:t xml:space="preserve">NDTIS consists of several modules covering specific aspects of oral health status, social and demographic information, and dental visiting behaviours. In 2013 modules were added to capture data on a range of dental health issues affecting adults, satisfaction with dental professional seen and data on the type of income support payments received by families with children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Institute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ad40502447b44ac1">
              <w:r>
                <w:rPr>
                  <w:rStyle w:val="Hyperlink"/>
                </w:rPr>
                <w:t xml:space="preserve">http://www.aihw.gov.au/</w:t>
              </w:r>
            </w:hyperlink>
            <w:r>
              <w:rPr>
                <w:rStyle w:val="row-content-rich-text"/>
              </w:rPr>
              <w:t xml:space="preserve">.</w:t>
            </w:r>
          </w:p>
          <w:p>
            <w:pPr/>
            <w:r>
              <w:rPr>
                <w:rStyle w:val="row-content-rich-text"/>
              </w:rPr>
              <w:t xml:space="preserve">The NDTIS is conducted on behalf of AIHW by the Dental Statistics and Research Unit (DSRU) located at the University of Adelaide, a collaborating unit of the AIHW. In this capacity the DSRU is subject to the provisions of the AIHW Act and the Privacy 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NDTIS 2013 was conducted from June 2013 to March 2014. Data from this collection were first published in January 2016 online and as a print-on demand publication (AIHW: Chrisopoulos S, Harford JE &amp; Ellershaw A 2016. Oral health and dental care in Australia: key facts and figures 2015. Cat. no. DEN 229. Canberra: AIHW), available at (</w:t>
            </w:r>
            <w:hyperlink w:history="true" r:id="Rec9d2fdeceb24dc1">
              <w:r>
                <w:rPr>
                  <w:rStyle w:val="Hyperlink"/>
                </w:rPr>
                <w:t xml:space="preserve">http://www.aihw.gov.au/publications/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DSRU produces a number of statistical reports based on the NDTIS, available free of charge from its website (</w:t>
            </w:r>
            <w:hyperlink w:history="true" r:id="Rfe73bded08be4227">
              <w:r>
                <w:rPr>
                  <w:rStyle w:val="Hyperlink"/>
                </w:rPr>
                <w:t xml:space="preserve">http://www.adelaide.edu.au/arcpoh/publications/reports</w:t>
              </w:r>
            </w:hyperlink>
            <w:r>
              <w:rPr>
                <w:rStyle w:val="row-content-rich-text"/>
              </w:rPr>
              <w:t xml:space="preserve">).</w:t>
            </w:r>
          </w:p>
          <w:p>
            <w:pPr/>
            <w:r>
              <w:rPr>
                <w:rStyle w:val="row-content-rich-text"/>
              </w:rPr>
              <w:t xml:space="preserve">Reports are also available from the AIHW website (</w:t>
            </w:r>
            <w:hyperlink w:history="true" r:id="R1a9d3b5e3437418f">
              <w:r>
                <w:rPr>
                  <w:rStyle w:val="Hyperlink"/>
                </w:rPr>
                <w:t xml:space="preserve">http://www.aihw.gov.au/dental-and-oral-health/</w:t>
              </w:r>
            </w:hyperlink>
            <w:r>
              <w:rPr>
                <w:rStyle w:val="row-content-rich-text"/>
              </w:rPr>
              <w:t xml:space="preserve">).</w:t>
            </w:r>
            <w:r>
              <w:br/>
            </w:r>
            <w:r>
              <w:br/>
            </w:r>
            <w:r>
              <w:rPr>
                <w:rStyle w:val="row-content-rich-text"/>
              </w:rPr>
              <w:t xml:space="preserve">Data not available online or in reports and customised tables can be requested via the AIHW Digital and Media Communications Unit on (02) 6244 1000 or via email to </w:t>
            </w:r>
            <w:hyperlink w:history="true" r:id="Read3bfa7cede4b91">
              <w:r>
                <w:rPr>
                  <w:rStyle w:val="Hyperlink"/>
                </w:rPr>
                <w:t xml:space="preserve">info@aihw.gov.au</w:t>
              </w:r>
            </w:hyperlink>
            <w:r>
              <w:rPr>
                <w:rStyle w:val="row-content-rich-text"/>
              </w:rPr>
              <w:t xml:space="preserve">. Queries can also be directed to </w:t>
            </w:r>
            <w:hyperlink w:history="true" r:id="Rd22f3bc99c974deb">
              <w:r>
                <w:rPr>
                  <w:rStyle w:val="Hyperlink"/>
                </w:rPr>
                <w:t xml:space="preserve">arcpoh@adelaide.edu.au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NDTIS consists of several modules: oral health status, perceived need, access to dental services and visiting behaviour, treatment received in the previous 12 months, waiting time for dental care, social impact of oral health status, barriers to accessing dental care, cardholder status, dental insurance status and sociodemographics. In 2013 the following modules were included: dental health concerns and type of income support payments received by families with children aged 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NDTIS is a random sample survey that collects information on the dental health and use of dental services of Australians in all states and territories. The scope of the survey includes both public and private dental services, and emergency as well as general visits (i.e. check-ups and consultations for problems not classified as emergencies).</w:t>
            </w:r>
          </w:p>
          <w:p>
            <w:pPr>
              <w:spacing w:after="160"/>
            </w:pPr>
            <w:r>
              <w:rPr>
                <w:rStyle w:val="row-content-rich-text"/>
              </w:rPr>
              <w:t xml:space="preserve">The survey data included people aged 5 years and over who were resident in households that had a telephone number listed in the electronic White Pages and people who were contactable by mobile telephone. Those who did not have a mobile phone and were not listed in the electronic White Pages were not represented in the sample. As NDTIS does not specifically identify dental services provided through hospitals, or services provided for orthodontic reasons, it was not possible to exclude these services from usage rates.</w:t>
            </w:r>
          </w:p>
          <w:p>
            <w:pPr>
              <w:spacing w:after="160"/>
            </w:pPr>
            <w:r>
              <w:rPr>
                <w:rStyle w:val="row-content-rich-text"/>
              </w:rPr>
              <w:t xml:space="preserve">The target sample size for the 2013 NDTIS was 6,600 adults aged 18 years or older, and 1,400 children aged 5–17 years. The number of survey participants after data editing was completed is provided in the following table.</w:t>
            </w:r>
            <w:r>
              <w:br/>
            </w: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3400" w:type="pct"/>
                  <w:vAlign w:val="top"/>
                </w:tcPr>
                <w:p>
                  <w:pPr/>
                  <w:r>
                    <w:rPr>
                      <w:rStyle w:val="row-content-rich-text"/>
                      <w:b/>
                      <w:color w:val="000000"/>
                    </w:rPr>
                    <w:t xml:space="preserve">Age group</w:t>
                  </w:r>
                </w:p>
              </w:tc>
              <w:tc>
                <w:tcPr>
                  <w:tcW w:w="1550" w:type="pct"/>
                  <w:vAlign w:val="top"/>
                </w:tcPr>
                <w:p>
                  <w:r>
                    <w:rPr>
                      <w:b/>
                      <w:color w:val="000000"/>
                    </w:rPr>
                    <w:t xml:space="preserve">Sample size</w:t>
                  </w:r>
                </w:p>
              </w:tc>
            </w:tr>
            <w:tr>
              <w:trPr/>
              <w:tc>
                <w:tcPr>
                  <w:tcW w:w="3400" w:type="pct"/>
                  <w:vAlign w:val="top"/>
                </w:tcPr>
                <w:p>
                  <w:r>
                    <w:rPr>
                      <w:color w:val="000000"/>
                    </w:rPr>
                    <w:t xml:space="preserve">5–17 year olds</w:t>
                  </w:r>
                </w:p>
              </w:tc>
              <w:tc>
                <w:tcPr>
                  <w:tcW w:w="1550" w:type="pct"/>
                  <w:vAlign w:val="top"/>
                </w:tcPr>
                <w:p>
                  <w:r>
                    <w:rPr>
                      <w:color w:val="000000"/>
                    </w:rPr>
                    <w:t xml:space="preserve">1,616</w:t>
                  </w:r>
                </w:p>
              </w:tc>
            </w:tr>
            <w:tr>
              <w:trPr/>
              <w:tc>
                <w:tcPr>
                  <w:tcW w:w="3400" w:type="pct"/>
                  <w:vAlign w:val="top"/>
                </w:tcPr>
                <w:p>
                  <w:r>
                    <w:rPr>
                      <w:color w:val="000000"/>
                    </w:rPr>
                    <w:t xml:space="preserve">18–24 year olds</w:t>
                  </w:r>
                </w:p>
              </w:tc>
              <w:tc>
                <w:tcPr>
                  <w:tcW w:w="1550" w:type="pct"/>
                  <w:vAlign w:val="top"/>
                </w:tcPr>
                <w:p>
                  <w:r>
                    <w:rPr>
                      <w:color w:val="000000"/>
                    </w:rPr>
                    <w:t xml:space="preserve">517</w:t>
                  </w:r>
                </w:p>
              </w:tc>
            </w:tr>
            <w:tr>
              <w:trPr/>
              <w:tc>
                <w:tcPr>
                  <w:tcW w:w="3400" w:type="pct"/>
                  <w:vAlign w:val="top"/>
                </w:tcPr>
                <w:p>
                  <w:r>
                    <w:rPr>
                      <w:color w:val="000000"/>
                    </w:rPr>
                    <w:t xml:space="preserve">25–44 year olds</w:t>
                  </w:r>
                </w:p>
              </w:tc>
              <w:tc>
                <w:tcPr>
                  <w:tcW w:w="1550" w:type="pct"/>
                  <w:vAlign w:val="top"/>
                </w:tcPr>
                <w:p>
                  <w:r>
                    <w:rPr>
                      <w:color w:val="000000"/>
                    </w:rPr>
                    <w:t xml:space="preserve">1,798</w:t>
                  </w:r>
                </w:p>
              </w:tc>
            </w:tr>
            <w:tr>
              <w:trPr/>
              <w:tc>
                <w:tcPr>
                  <w:tcW w:w="3400" w:type="pct"/>
                  <w:vAlign w:val="top"/>
                </w:tcPr>
                <w:p>
                  <w:r>
                    <w:rPr>
                      <w:color w:val="000000"/>
                    </w:rPr>
                    <w:t xml:space="preserve">45–64 year olds</w:t>
                  </w:r>
                </w:p>
              </w:tc>
              <w:tc>
                <w:tcPr>
                  <w:tcW w:w="1550" w:type="pct"/>
                  <w:vAlign w:val="top"/>
                </w:tcPr>
                <w:p>
                  <w:r>
                    <w:rPr>
                      <w:color w:val="000000"/>
                    </w:rPr>
                    <w:t xml:space="preserve">2,543</w:t>
                  </w:r>
                </w:p>
              </w:tc>
            </w:tr>
            <w:tr>
              <w:trPr/>
              <w:tc>
                <w:tcPr>
                  <w:tcW w:w="3400" w:type="pct"/>
                  <w:vAlign w:val="top"/>
                </w:tcPr>
                <w:p>
                  <w:r>
                    <w:rPr>
                      <w:color w:val="000000"/>
                    </w:rPr>
                    <w:t xml:space="preserve">65+ year olds</w:t>
                  </w:r>
                </w:p>
              </w:tc>
              <w:tc>
                <w:tcPr>
                  <w:tcW w:w="1550" w:type="pct"/>
                  <w:vAlign w:val="top"/>
                </w:tcPr>
                <w:p>
                  <w:r>
                    <w:rPr>
                      <w:color w:val="000000"/>
                    </w:rPr>
                    <w:t xml:space="preserve">1,482</w:t>
                  </w:r>
                </w:p>
              </w:tc>
            </w:tr>
            <w:tr>
              <w:trPr/>
              <w:tc>
                <w:tcPr>
                  <w:tcW w:w="3400" w:type="pct"/>
                  <w:vAlign w:val="top"/>
                </w:tcPr>
                <w:p>
                  <w:r>
                    <w:rPr>
                      <w:b/>
                      <w:color w:val="000000"/>
                    </w:rPr>
                    <w:t xml:space="preserve">Total</w:t>
                  </w:r>
                </w:p>
              </w:tc>
              <w:tc>
                <w:tcPr>
                  <w:tcW w:w="1550" w:type="pct"/>
                  <w:vAlign w:val="top"/>
                </w:tcPr>
                <w:p>
                  <w:r>
                    <w:rPr>
                      <w:b/>
                    </w:rPr>
                    <w:t xml:space="preserve">7,956</w:t>
                  </w:r>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from a random sample of Australians selected using an overlapping dual sampling frame design. The first sampling frame was created from the electronic product ‘Australia on Disc 2012 Residential’ supplied by United Directory Systems. This product is an electronic listing of persons/households listed in the White Pages across Australia and is updated annually. Both landline and mobile telephone numbers were provided on records where applicable. A stratified two-stage sample design was used to select a sample of persons from this sampling frame. Records listed on the frame were stratified by State/Territory and region where region was defined as Greater Capital City/Rest of State. A systematic sample of records was selected from each stratum using specified sampling fractions.  Once telephone contact was made with a selected household, one person aged 18 years or older was randomly selected. On completion of the adult questionnaire, if the household contained children aged 5-17 years then one child was randomly selected to participate in the survey.</w:t>
            </w:r>
          </w:p>
          <w:p>
            <w:pPr>
              <w:spacing w:after="160"/>
            </w:pPr>
            <w:r>
              <w:rPr>
                <w:rStyle w:val="row-content-rich-text"/>
              </w:rPr>
              <w:t xml:space="preserve">To include Australian households that were not listed in the White Pages a second sampling frame was used that consisted of 20,000 randomly generated mobile telephone numbers. This sampling frame was supplied by Sampleworx and the mobile telephone numbers were created by appending randomly generated suffix numbers to all known Australian mobile prefix numbers. As the mobile numbers did not contain address information the sampling frame could not be stratified by geographic region. A random sample of mobile numbers was selected from the frame and contacted to establish the main user of the mobile phone. Providing this person was aged 18 years or older they were asked to participate in the survey. On completion of the adult questionnaire, if the adult’s household contained children aged 5-17 years then one child was randomly selected to participate in the survey.</w:t>
            </w:r>
          </w:p>
          <w:p>
            <w:pPr>
              <w:spacing w:after="160"/>
            </w:pPr>
            <w:r>
              <w:rPr>
                <w:rStyle w:val="row-content-rich-text"/>
              </w:rPr>
              <w:t xml:space="preserve">The NDTIS sample consisted of 6,931 persons participating from the electronic White Pages sampling frame (the EWP sample) and 1,025 persons participating from the randomly generated Mobile number sampling frame (the Mobile sample).</w:t>
            </w:r>
          </w:p>
          <w:p>
            <w:pPr>
              <w:spacing w:after="160"/>
            </w:pPr>
            <w:r>
              <w:rPr>
                <w:rStyle w:val="row-content-rich-text"/>
              </w:rPr>
              <w:t xml:space="preserve">Testing of the NDTIS questionnaire program was conducted during April and May 2013 and involved informal in-house testing and a pilot test conducted with Adelaide residents. Indigenous status is recorded but due to the small number of Indigenous persons surveyed estimates cannot be considered to be representative of the Indigenous population.</w:t>
            </w:r>
          </w:p>
          <w:p>
            <w:pPr>
              <w:spacing w:after="160"/>
            </w:pPr>
            <w:r>
              <w:rPr>
                <w:rStyle w:val="row-content-rich-text"/>
              </w:rPr>
              <w:t xml:space="preserve">An overall participation rate of 34.3% was achieved in the 2013 survey. Households that were out of scope or unable to be contacted are excluded from the calculation of participation rates. A total of 38,108 unique telephone numbers were called resulting in 6,348 households with one or more completed interviews. The participation rate for the EWP sample was 34.7% with stratum participation rates ranging from 27.4% in Sydney through to 48.7% in non-metropolitan South Australia. The participation rate for the Mobile sample was 32.3%.</w:t>
            </w:r>
          </w:p>
          <w:tbl>
            <w:tblPr>
              <w:tblStyle w:val="TableGrid"/>
              <w:tblW w:w="5000" w:type="pct"/>
              <w:tblBorders>
                <w:top w:val="none"/>
                <w:left w:val="none"/>
                <w:bottom w:val="none"/>
                <w:right w:val="none"/>
                <w:insideH w:val="none"/>
                <w:insideV w:val="none"/>
              </w:tblBorders>
              <w:tblLayout w:type="autofit"/>
            </w:tblPr>
            <w:tblGrid>
              <w:gridCol/>
              <w:gridCol/>
              <w:gridCol/>
              <w:gridCol/>
              <w:gridCol/>
              <w:gridCol/>
              <w:gridCol/>
              <w:gridCol/>
            </w:tblGrid>
            <w:tr>
              <w:trPr/>
              <w:tc>
                <w:tcPr>
                  <w:tcW w:w="1500" w:type="pct"/>
                  <w:vAlign w:val="top"/>
                </w:tcPr>
                <w:p>
                  <w:pPr/>
                  <w:r>
                    <w:rPr>
                      <w:rStyle w:val="row-content-rich-text"/>
                      <w:b/>
                    </w:rPr>
                    <w:t xml:space="preserve">Stratum</w:t>
                  </w:r>
                </w:p>
              </w:tc>
              <w:tc>
                <w:tcPr>
                  <w:tcW w:w="600" w:type="pct"/>
                  <w:vAlign w:val="top"/>
                </w:tcPr>
                <w:p>
                  <w:r>
                    <w:rPr>
                      <w:b/>
                    </w:rPr>
                    <w:t xml:space="preserve">Total sample    </w:t>
                  </w:r>
                </w:p>
              </w:tc>
              <w:tc>
                <w:tcPr>
                  <w:tcW w:w="450" w:type="pct"/>
                  <w:vAlign w:val="top"/>
                </w:tcPr>
                <w:p>
                  <w:r>
                    <w:rPr>
                      <w:b/>
                    </w:rPr>
                    <w:t xml:space="preserve">Out of  scope   </w:t>
                  </w:r>
                </w:p>
              </w:tc>
              <w:tc>
                <w:tcPr>
                  <w:tcW w:w="400" w:type="pct"/>
                  <w:vAlign w:val="top"/>
                </w:tcPr>
                <w:p>
                  <w:r>
                    <w:rPr>
                      <w:b/>
                    </w:rPr>
                    <w:t xml:space="preserve">Unable</w:t>
                  </w:r>
                  <w:r>
                    <w:br/>
                  </w:r>
                  <w:r>
                    <w:rPr>
                      <w:b/>
                    </w:rPr>
                    <w:t xml:space="preserve">to contact  </w:t>
                  </w:r>
                </w:p>
              </w:tc>
              <w:tc>
                <w:tcPr>
                  <w:tcW w:w="400" w:type="pct"/>
                  <w:vAlign w:val="top"/>
                </w:tcPr>
                <w:p>
                  <w:r>
                    <w:rPr>
                      <w:b/>
                    </w:rPr>
                    <w:t xml:space="preserve">Could contact</w:t>
                  </w:r>
                  <w:r>
                    <w:br/>
                  </w:r>
                  <w:r>
                    <w:rPr>
                      <w:b/>
                    </w:rPr>
                    <w:t xml:space="preserve">but not</w:t>
                  </w:r>
                  <w:r>
                    <w:br/>
                  </w:r>
                  <w:r>
                    <w:rPr>
                      <w:b/>
                    </w:rPr>
                    <w:t xml:space="preserve">resolved  </w:t>
                  </w:r>
                </w:p>
              </w:tc>
              <w:tc>
                <w:tcPr>
                  <w:tcW w:w="400" w:type="pct"/>
                  <w:vAlign w:val="top"/>
                </w:tcPr>
                <w:p>
                  <w:r>
                    <w:rPr>
                      <w:b/>
                    </w:rPr>
                    <w:t xml:space="preserve">Refusal  </w:t>
                  </w:r>
                </w:p>
              </w:tc>
              <w:tc>
                <w:tcPr>
                  <w:tcW w:w="450" w:type="pct"/>
                  <w:vAlign w:val="top"/>
                </w:tcPr>
                <w:p>
                  <w:r>
                    <w:rPr>
                      <w:b/>
                    </w:rPr>
                    <w:t xml:space="preserve">Partic-ipating hous-</w:t>
                  </w:r>
                  <w:r>
                    <w:br/>
                  </w:r>
                  <w:r>
                    <w:rPr>
                      <w:b/>
                    </w:rPr>
                    <w:t xml:space="preserve">eholds   </w:t>
                  </w:r>
                </w:p>
              </w:tc>
              <w:tc>
                <w:tcPr>
                  <w:tcW w:w="600" w:type="pct"/>
                  <w:vAlign w:val="top"/>
                </w:tcPr>
                <w:p>
                  <w:r>
                    <w:rPr>
                      <w:b/>
                    </w:rPr>
                    <w:t xml:space="preserve">Per cent partic-</w:t>
                  </w:r>
                  <w:r>
                    <w:br/>
                  </w:r>
                  <w:r>
                    <w:rPr>
                      <w:b/>
                    </w:rPr>
                    <w:t xml:space="preserve">ipation</w:t>
                  </w:r>
                </w:p>
              </w:tc>
            </w:tr>
            <w:tr>
              <w:trPr/>
              <w:tc>
                <w:tcPr>
                  <w:tcW w:w="1500" w:type="pct"/>
                  <w:vAlign w:val="top"/>
                </w:tcPr>
                <w:p>
                  <w:r>
                    <w:rPr>
                      <w:b/>
                    </w:rPr>
                    <w:t xml:space="preserve">EWP Sample</w:t>
                  </w:r>
                </w:p>
              </w:tc>
              <w:tc>
                <w:tcPr>
                  <w:tcW w:w="600" w:type="pct"/>
                  <w:vAlign w:val="top"/>
                </w:tcPr>
                <w:p>
                  <w:r>
                    <w:t xml:space="preserve"> </w:t>
                  </w:r>
                </w:p>
              </w:tc>
              <w:tc>
                <w:tcPr>
                  <w:tcW w:w="450" w:type="pct"/>
                  <w:vAlign w:val="top"/>
                </w:tcPr>
                <w:p>
                  <w:r>
                    <w:t xml:space="preserve"> </w:t>
                  </w:r>
                </w:p>
              </w:tc>
              <w:tc>
                <w:tcPr>
                  <w:tcW w:w="400" w:type="pct"/>
                  <w:vAlign w:val="top"/>
                </w:tcPr>
                <w:p>
                  <w:r>
                    <w:t xml:space="preserve"> </w:t>
                  </w:r>
                </w:p>
              </w:tc>
              <w:tc>
                <w:tcPr>
                  <w:tcW w:w="400" w:type="pct"/>
                  <w:vAlign w:val="top"/>
                </w:tcPr>
                <w:p>
                  <w:r>
                    <w:t xml:space="preserve"> </w:t>
                  </w:r>
                </w:p>
              </w:tc>
              <w:tc>
                <w:tcPr>
                  <w:tcW w:w="400" w:type="pct"/>
                  <w:vAlign w:val="top"/>
                </w:tcPr>
                <w:p>
                  <w:r>
                    <w:t xml:space="preserve"> </w:t>
                  </w:r>
                </w:p>
              </w:tc>
              <w:tc>
                <w:tcPr>
                  <w:tcW w:w="450" w:type="pct"/>
                  <w:vAlign w:val="top"/>
                </w:tcPr>
                <w:p>
                  <w:r>
                    <w:t xml:space="preserve"> </w:t>
                  </w:r>
                </w:p>
              </w:tc>
              <w:tc>
                <w:tcPr>
                  <w:tcW w:w="600" w:type="pct"/>
                  <w:vAlign w:val="top"/>
                </w:tcPr>
                <w:p>
                  <w:r>
                    <w:t xml:space="preserve"> </w:t>
                  </w:r>
                </w:p>
              </w:tc>
            </w:tr>
            <w:tr>
              <w:trPr/>
              <w:tc>
                <w:tcPr>
                  <w:tcW w:w="1500" w:type="pct"/>
                  <w:vAlign w:val="top"/>
                </w:tcPr>
                <w:p>
                  <w:r>
                    <w:t xml:space="preserve">Sydney</w:t>
                  </w:r>
                </w:p>
              </w:tc>
              <w:tc>
                <w:tcPr>
                  <w:tcW w:w="600" w:type="pct"/>
                  <w:vAlign w:val="top"/>
                </w:tcPr>
                <w:p>
                  <w:r>
                    <w:t xml:space="preserve">4,396</w:t>
                  </w:r>
                </w:p>
              </w:tc>
              <w:tc>
                <w:tcPr>
                  <w:tcW w:w="450" w:type="pct"/>
                  <w:vAlign w:val="top"/>
                </w:tcPr>
                <w:p>
                  <w:r>
                    <w:t xml:space="preserve">1,538</w:t>
                  </w:r>
                </w:p>
              </w:tc>
              <w:tc>
                <w:tcPr>
                  <w:tcW w:w="400" w:type="pct"/>
                  <w:vAlign w:val="top"/>
                </w:tcPr>
                <w:p>
                  <w:r>
                    <w:t xml:space="preserve">650</w:t>
                  </w:r>
                </w:p>
              </w:tc>
              <w:tc>
                <w:tcPr>
                  <w:tcW w:w="400" w:type="pct"/>
                  <w:vAlign w:val="top"/>
                </w:tcPr>
                <w:p>
                  <w:r>
                    <w:t xml:space="preserve">133</w:t>
                  </w:r>
                </w:p>
              </w:tc>
              <w:tc>
                <w:tcPr>
                  <w:tcW w:w="400" w:type="pct"/>
                  <w:vAlign w:val="top"/>
                </w:tcPr>
                <w:p>
                  <w:r>
                    <w:t xml:space="preserve">1,469</w:t>
                  </w:r>
                </w:p>
              </w:tc>
              <w:tc>
                <w:tcPr>
                  <w:tcW w:w="450" w:type="pct"/>
                  <w:vAlign w:val="top"/>
                </w:tcPr>
                <w:p>
                  <w:r>
                    <w:t xml:space="preserve">606</w:t>
                  </w:r>
                </w:p>
              </w:tc>
              <w:tc>
                <w:tcPr>
                  <w:tcW w:w="600" w:type="pct"/>
                  <w:vAlign w:val="top"/>
                </w:tcPr>
                <w:p>
                  <w:r>
                    <w:t xml:space="preserve">27.4%</w:t>
                  </w:r>
                </w:p>
              </w:tc>
            </w:tr>
            <w:tr>
              <w:trPr/>
              <w:tc>
                <w:tcPr>
                  <w:tcW w:w="1500" w:type="pct"/>
                  <w:vAlign w:val="top"/>
                </w:tcPr>
                <w:p>
                  <w:r>
                    <w:t xml:space="preserve">Balance of New South Wales</w:t>
                  </w:r>
                </w:p>
              </w:tc>
              <w:tc>
                <w:tcPr>
                  <w:tcW w:w="600" w:type="pct"/>
                  <w:vAlign w:val="top"/>
                </w:tcPr>
                <w:p>
                  <w:r>
                    <w:t xml:space="preserve">2,364</w:t>
                  </w:r>
                </w:p>
              </w:tc>
              <w:tc>
                <w:tcPr>
                  <w:tcW w:w="450" w:type="pct"/>
                  <w:vAlign w:val="top"/>
                </w:tcPr>
                <w:p>
                  <w:r>
                    <w:t xml:space="preserve">833</w:t>
                  </w:r>
                </w:p>
              </w:tc>
              <w:tc>
                <w:tcPr>
                  <w:tcW w:w="400" w:type="pct"/>
                  <w:vAlign w:val="top"/>
                </w:tcPr>
                <w:p>
                  <w:r>
                    <w:t xml:space="preserve">259</w:t>
                  </w:r>
                </w:p>
              </w:tc>
              <w:tc>
                <w:tcPr>
                  <w:tcW w:w="400" w:type="pct"/>
                  <w:vAlign w:val="top"/>
                </w:tcPr>
                <w:p>
                  <w:r>
                    <w:t xml:space="preserve">54</w:t>
                  </w:r>
                </w:p>
              </w:tc>
              <w:tc>
                <w:tcPr>
                  <w:tcW w:w="400" w:type="pct"/>
                  <w:vAlign w:val="top"/>
                </w:tcPr>
                <w:p>
                  <w:r>
                    <w:t xml:space="preserve">769</w:t>
                  </w:r>
                </w:p>
              </w:tc>
              <w:tc>
                <w:tcPr>
                  <w:tcW w:w="450" w:type="pct"/>
                  <w:vAlign w:val="top"/>
                </w:tcPr>
                <w:p>
                  <w:r>
                    <w:t xml:space="preserve">449</w:t>
                  </w:r>
                </w:p>
              </w:tc>
              <w:tc>
                <w:tcPr>
                  <w:tcW w:w="600" w:type="pct"/>
                  <w:vAlign w:val="top"/>
                </w:tcPr>
                <w:p>
                  <w:r>
                    <w:t xml:space="preserve">35.3%</w:t>
                  </w:r>
                </w:p>
              </w:tc>
            </w:tr>
            <w:tr>
              <w:trPr/>
              <w:tc>
                <w:tcPr>
                  <w:tcW w:w="1500" w:type="pct"/>
                  <w:vAlign w:val="top"/>
                </w:tcPr>
                <w:p>
                  <w:r>
                    <w:t xml:space="preserve">Melbourne</w:t>
                  </w:r>
                </w:p>
              </w:tc>
              <w:tc>
                <w:tcPr>
                  <w:tcW w:w="600" w:type="pct"/>
                  <w:vAlign w:val="top"/>
                </w:tcPr>
                <w:p>
                  <w:r>
                    <w:t xml:space="preserve">3,323</w:t>
                  </w:r>
                </w:p>
              </w:tc>
              <w:tc>
                <w:tcPr>
                  <w:tcW w:w="450" w:type="pct"/>
                  <w:vAlign w:val="top"/>
                </w:tcPr>
                <w:p>
                  <w:r>
                    <w:t xml:space="preserve">1,033</w:t>
                  </w:r>
                </w:p>
              </w:tc>
              <w:tc>
                <w:tcPr>
                  <w:tcW w:w="400" w:type="pct"/>
                  <w:vAlign w:val="top"/>
                </w:tcPr>
                <w:p>
                  <w:r>
                    <w:t xml:space="preserve">460</w:t>
                  </w:r>
                </w:p>
              </w:tc>
              <w:tc>
                <w:tcPr>
                  <w:tcW w:w="400" w:type="pct"/>
                  <w:vAlign w:val="top"/>
                </w:tcPr>
                <w:p>
                  <w:r>
                    <w:t xml:space="preserve">111</w:t>
                  </w:r>
                </w:p>
              </w:tc>
              <w:tc>
                <w:tcPr>
                  <w:tcW w:w="400" w:type="pct"/>
                  <w:vAlign w:val="top"/>
                </w:tcPr>
                <w:p>
                  <w:r>
                    <w:t xml:space="preserve">1,146</w:t>
                  </w:r>
                </w:p>
              </w:tc>
              <w:tc>
                <w:tcPr>
                  <w:tcW w:w="450" w:type="pct"/>
                  <w:vAlign w:val="top"/>
                </w:tcPr>
                <w:p>
                  <w:r>
                    <w:t xml:space="preserve">573</w:t>
                  </w:r>
                </w:p>
              </w:tc>
              <w:tc>
                <w:tcPr>
                  <w:tcW w:w="600" w:type="pct"/>
                  <w:vAlign w:val="top"/>
                </w:tcPr>
                <w:p>
                  <w:r>
                    <w:t xml:space="preserve">31.3%</w:t>
                  </w:r>
                </w:p>
              </w:tc>
            </w:tr>
            <w:tr>
              <w:trPr/>
              <w:tc>
                <w:tcPr>
                  <w:tcW w:w="1500" w:type="pct"/>
                  <w:vAlign w:val="top"/>
                </w:tcPr>
                <w:p>
                  <w:r>
                    <w:t xml:space="preserve">Balance of Victoria</w:t>
                  </w:r>
                </w:p>
              </w:tc>
              <w:tc>
                <w:tcPr>
                  <w:tcW w:w="600" w:type="pct"/>
                  <w:vAlign w:val="top"/>
                </w:tcPr>
                <w:p>
                  <w:r>
                    <w:t xml:space="preserve">1,793</w:t>
                  </w:r>
                </w:p>
              </w:tc>
              <w:tc>
                <w:tcPr>
                  <w:tcW w:w="450" w:type="pct"/>
                  <w:vAlign w:val="top"/>
                </w:tcPr>
                <w:p>
                  <w:r>
                    <w:t xml:space="preserve">565</w:t>
                  </w:r>
                </w:p>
              </w:tc>
              <w:tc>
                <w:tcPr>
                  <w:tcW w:w="400" w:type="pct"/>
                  <w:vAlign w:val="top"/>
                </w:tcPr>
                <w:p>
                  <w:r>
                    <w:t xml:space="preserve">224</w:t>
                  </w:r>
                </w:p>
              </w:tc>
              <w:tc>
                <w:tcPr>
                  <w:tcW w:w="400" w:type="pct"/>
                  <w:vAlign w:val="top"/>
                </w:tcPr>
                <w:p>
                  <w:r>
                    <w:t xml:space="preserve">36</w:t>
                  </w:r>
                </w:p>
              </w:tc>
              <w:tc>
                <w:tcPr>
                  <w:tcW w:w="400" w:type="pct"/>
                  <w:vAlign w:val="top"/>
                </w:tcPr>
                <w:p>
                  <w:r>
                    <w:t xml:space="preserve">583</w:t>
                  </w:r>
                </w:p>
              </w:tc>
              <w:tc>
                <w:tcPr>
                  <w:tcW w:w="450" w:type="pct"/>
                  <w:vAlign w:val="top"/>
                </w:tcPr>
                <w:p>
                  <w:r>
                    <w:t xml:space="preserve">385</w:t>
                  </w:r>
                </w:p>
              </w:tc>
              <w:tc>
                <w:tcPr>
                  <w:tcW w:w="600" w:type="pct"/>
                  <w:vAlign w:val="top"/>
                </w:tcPr>
                <w:p>
                  <w:r>
                    <w:t xml:space="preserve">38.3%</w:t>
                  </w:r>
                </w:p>
              </w:tc>
            </w:tr>
            <w:tr>
              <w:trPr/>
              <w:tc>
                <w:tcPr>
                  <w:tcW w:w="1500" w:type="pct"/>
                  <w:vAlign w:val="top"/>
                </w:tcPr>
                <w:p>
                  <w:r>
                    <w:t xml:space="preserve">Brisbane</w:t>
                  </w:r>
                </w:p>
              </w:tc>
              <w:tc>
                <w:tcPr>
                  <w:tcW w:w="600" w:type="pct"/>
                  <w:vAlign w:val="top"/>
                </w:tcPr>
                <w:p>
                  <w:r>
                    <w:t xml:space="preserve">2,460</w:t>
                  </w:r>
                </w:p>
              </w:tc>
              <w:tc>
                <w:tcPr>
                  <w:tcW w:w="450" w:type="pct"/>
                  <w:vAlign w:val="top"/>
                </w:tcPr>
                <w:p>
                  <w:r>
                    <w:t xml:space="preserve">907</w:t>
                  </w:r>
                </w:p>
              </w:tc>
              <w:tc>
                <w:tcPr>
                  <w:tcW w:w="400" w:type="pct"/>
                  <w:vAlign w:val="top"/>
                </w:tcPr>
                <w:p>
                  <w:r>
                    <w:t xml:space="preserve">326</w:t>
                  </w:r>
                </w:p>
              </w:tc>
              <w:tc>
                <w:tcPr>
                  <w:tcW w:w="400" w:type="pct"/>
                  <w:vAlign w:val="top"/>
                </w:tcPr>
                <w:p>
                  <w:r>
                    <w:t xml:space="preserve">61</w:t>
                  </w:r>
                </w:p>
              </w:tc>
              <w:tc>
                <w:tcPr>
                  <w:tcW w:w="400" w:type="pct"/>
                  <w:vAlign w:val="top"/>
                </w:tcPr>
                <w:p>
                  <w:r>
                    <w:t xml:space="preserve">726</w:t>
                  </w:r>
                </w:p>
              </w:tc>
              <w:tc>
                <w:tcPr>
                  <w:tcW w:w="450" w:type="pct"/>
                  <w:vAlign w:val="top"/>
                </w:tcPr>
                <w:p>
                  <w:r>
                    <w:t xml:space="preserve">440</w:t>
                  </w:r>
                </w:p>
              </w:tc>
              <w:tc>
                <w:tcPr>
                  <w:tcW w:w="600" w:type="pct"/>
                  <w:vAlign w:val="top"/>
                </w:tcPr>
                <w:p>
                  <w:r>
                    <w:t xml:space="preserve">35.9%</w:t>
                  </w:r>
                </w:p>
              </w:tc>
            </w:tr>
            <w:tr>
              <w:trPr/>
              <w:tc>
                <w:tcPr>
                  <w:tcW w:w="1500" w:type="pct"/>
                  <w:vAlign w:val="top"/>
                </w:tcPr>
                <w:p>
                  <w:r>
                    <w:t xml:space="preserve">Balance of Queensland</w:t>
                  </w:r>
                </w:p>
              </w:tc>
              <w:tc>
                <w:tcPr>
                  <w:tcW w:w="600" w:type="pct"/>
                  <w:vAlign w:val="top"/>
                </w:tcPr>
                <w:p>
                  <w:r>
                    <w:t xml:space="preserve">2,594</w:t>
                  </w:r>
                </w:p>
              </w:tc>
              <w:tc>
                <w:tcPr>
                  <w:tcW w:w="450" w:type="pct"/>
                  <w:vAlign w:val="top"/>
                </w:tcPr>
                <w:p>
                  <w:r>
                    <w:t xml:space="preserve">901</w:t>
                  </w:r>
                </w:p>
              </w:tc>
              <w:tc>
                <w:tcPr>
                  <w:tcW w:w="400" w:type="pct"/>
                  <w:vAlign w:val="top"/>
                </w:tcPr>
                <w:p>
                  <w:r>
                    <w:t xml:space="preserve">362</w:t>
                  </w:r>
                </w:p>
              </w:tc>
              <w:tc>
                <w:tcPr>
                  <w:tcW w:w="400" w:type="pct"/>
                  <w:vAlign w:val="top"/>
                </w:tcPr>
                <w:p>
                  <w:r>
                    <w:t xml:space="preserve">64</w:t>
                  </w:r>
                </w:p>
              </w:tc>
              <w:tc>
                <w:tcPr>
                  <w:tcW w:w="400" w:type="pct"/>
                  <w:vAlign w:val="top"/>
                </w:tcPr>
                <w:p>
                  <w:r>
                    <w:t xml:space="preserve">849</w:t>
                  </w:r>
                </w:p>
              </w:tc>
              <w:tc>
                <w:tcPr>
                  <w:tcW w:w="450" w:type="pct"/>
                  <w:vAlign w:val="top"/>
                </w:tcPr>
                <w:p>
                  <w:r>
                    <w:t xml:space="preserve">418</w:t>
                  </w:r>
                </w:p>
              </w:tc>
              <w:tc>
                <w:tcPr>
                  <w:tcW w:w="600" w:type="pct"/>
                  <w:vAlign w:val="top"/>
                </w:tcPr>
                <w:p>
                  <w:r>
                    <w:t xml:space="preserve">31.4%</w:t>
                  </w:r>
                </w:p>
              </w:tc>
            </w:tr>
            <w:tr>
              <w:trPr/>
              <w:tc>
                <w:tcPr>
                  <w:tcW w:w="1500" w:type="pct"/>
                  <w:vAlign w:val="top"/>
                </w:tcPr>
                <w:p>
                  <w:r>
                    <w:t xml:space="preserve">Adelaide</w:t>
                  </w:r>
                </w:p>
              </w:tc>
              <w:tc>
                <w:tcPr>
                  <w:tcW w:w="600" w:type="pct"/>
                  <w:vAlign w:val="top"/>
                </w:tcPr>
                <w:p>
                  <w:r>
                    <w:t xml:space="preserve">2,278</w:t>
                  </w:r>
                </w:p>
              </w:tc>
              <w:tc>
                <w:tcPr>
                  <w:tcW w:w="450" w:type="pct"/>
                  <w:vAlign w:val="top"/>
                </w:tcPr>
                <w:p>
                  <w:r>
                    <w:t xml:space="preserve">1,045</w:t>
                  </w:r>
                </w:p>
              </w:tc>
              <w:tc>
                <w:tcPr>
                  <w:tcW w:w="400" w:type="pct"/>
                  <w:vAlign w:val="top"/>
                </w:tcPr>
                <w:p>
                  <w:r>
                    <w:t xml:space="preserve">277</w:t>
                  </w:r>
                </w:p>
              </w:tc>
              <w:tc>
                <w:tcPr>
                  <w:tcW w:w="400" w:type="pct"/>
                  <w:vAlign w:val="top"/>
                </w:tcPr>
                <w:p>
                  <w:r>
                    <w:t xml:space="preserve">57</w:t>
                  </w:r>
                </w:p>
              </w:tc>
              <w:tc>
                <w:tcPr>
                  <w:tcW w:w="400" w:type="pct"/>
                  <w:vAlign w:val="top"/>
                </w:tcPr>
                <w:p>
                  <w:r>
                    <w:t xml:space="preserve">510</w:t>
                  </w:r>
                </w:p>
              </w:tc>
              <w:tc>
                <w:tcPr>
                  <w:tcW w:w="450" w:type="pct"/>
                  <w:vAlign w:val="top"/>
                </w:tcPr>
                <w:p>
                  <w:r>
                    <w:t xml:space="preserve">389</w:t>
                  </w:r>
                </w:p>
              </w:tc>
              <w:tc>
                <w:tcPr>
                  <w:tcW w:w="600" w:type="pct"/>
                  <w:vAlign w:val="top"/>
                </w:tcPr>
                <w:p>
                  <w:r>
                    <w:t xml:space="preserve">40.7%</w:t>
                  </w:r>
                </w:p>
              </w:tc>
            </w:tr>
            <w:tr>
              <w:trPr/>
              <w:tc>
                <w:tcPr>
                  <w:tcW w:w="1500" w:type="pct"/>
                  <w:vAlign w:val="top"/>
                </w:tcPr>
                <w:p>
                  <w:r>
                    <w:t xml:space="preserve">Balance of South Australia</w:t>
                  </w:r>
                </w:p>
              </w:tc>
              <w:tc>
                <w:tcPr>
                  <w:tcW w:w="600" w:type="pct"/>
                  <w:vAlign w:val="top"/>
                </w:tcPr>
                <w:p>
                  <w:r>
                    <w:t xml:space="preserve">1,375</w:t>
                  </w:r>
                </w:p>
              </w:tc>
              <w:tc>
                <w:tcPr>
                  <w:tcW w:w="450" w:type="pct"/>
                  <w:vAlign w:val="top"/>
                </w:tcPr>
                <w:p>
                  <w:r>
                    <w:t xml:space="preserve">602</w:t>
                  </w:r>
                </w:p>
              </w:tc>
              <w:tc>
                <w:tcPr>
                  <w:tcW w:w="400" w:type="pct"/>
                  <w:vAlign w:val="top"/>
                </w:tcPr>
                <w:p>
                  <w:r>
                    <w:t xml:space="preserve">161</w:t>
                  </w:r>
                </w:p>
              </w:tc>
              <w:tc>
                <w:tcPr>
                  <w:tcW w:w="400" w:type="pct"/>
                  <w:vAlign w:val="top"/>
                </w:tcPr>
                <w:p>
                  <w:r>
                    <w:t xml:space="preserve">29</w:t>
                  </w:r>
                </w:p>
              </w:tc>
              <w:tc>
                <w:tcPr>
                  <w:tcW w:w="400" w:type="pct"/>
                  <w:vAlign w:val="top"/>
                </w:tcPr>
                <w:p>
                  <w:r>
                    <w:t xml:space="preserve">285</w:t>
                  </w:r>
                </w:p>
              </w:tc>
              <w:tc>
                <w:tcPr>
                  <w:tcW w:w="450" w:type="pct"/>
                  <w:vAlign w:val="top"/>
                </w:tcPr>
                <w:p>
                  <w:r>
                    <w:t xml:space="preserve">298</w:t>
                  </w:r>
                </w:p>
              </w:tc>
              <w:tc>
                <w:tcPr>
                  <w:tcW w:w="600" w:type="pct"/>
                  <w:vAlign w:val="top"/>
                </w:tcPr>
                <w:p>
                  <w:r>
                    <w:t xml:space="preserve">48.7%</w:t>
                  </w:r>
                </w:p>
              </w:tc>
            </w:tr>
            <w:tr>
              <w:trPr/>
              <w:tc>
                <w:tcPr>
                  <w:tcW w:w="1500" w:type="pct"/>
                  <w:vAlign w:val="top"/>
                </w:tcPr>
                <w:p>
                  <w:r>
                    <w:t xml:space="preserve">Perth</w:t>
                  </w:r>
                </w:p>
              </w:tc>
              <w:tc>
                <w:tcPr>
                  <w:tcW w:w="600" w:type="pct"/>
                  <w:vAlign w:val="top"/>
                </w:tcPr>
                <w:p>
                  <w:r>
                    <w:t xml:space="preserve">1,934</w:t>
                  </w:r>
                </w:p>
              </w:tc>
              <w:tc>
                <w:tcPr>
                  <w:tcW w:w="450" w:type="pct"/>
                  <w:vAlign w:val="top"/>
                </w:tcPr>
                <w:p>
                  <w:r>
                    <w:t xml:space="preserve">607</w:t>
                  </w:r>
                </w:p>
              </w:tc>
              <w:tc>
                <w:tcPr>
                  <w:tcW w:w="400" w:type="pct"/>
                  <w:vAlign w:val="top"/>
                </w:tcPr>
                <w:p>
                  <w:r>
                    <w:t xml:space="preserve">255</w:t>
                  </w:r>
                </w:p>
              </w:tc>
              <w:tc>
                <w:tcPr>
                  <w:tcW w:w="400" w:type="pct"/>
                  <w:vAlign w:val="top"/>
                </w:tcPr>
                <w:p>
                  <w:r>
                    <w:t xml:space="preserve">59</w:t>
                  </w:r>
                </w:p>
              </w:tc>
              <w:tc>
                <w:tcPr>
                  <w:tcW w:w="400" w:type="pct"/>
                  <w:vAlign w:val="top"/>
                </w:tcPr>
                <w:p>
                  <w:r>
                    <w:t xml:space="preserve">682</w:t>
                  </w:r>
                </w:p>
              </w:tc>
              <w:tc>
                <w:tcPr>
                  <w:tcW w:w="450" w:type="pct"/>
                  <w:vAlign w:val="top"/>
                </w:tcPr>
                <w:p>
                  <w:r>
                    <w:t xml:space="preserve">331</w:t>
                  </w:r>
                </w:p>
              </w:tc>
              <w:tc>
                <w:tcPr>
                  <w:tcW w:w="600" w:type="pct"/>
                  <w:vAlign w:val="top"/>
                </w:tcPr>
                <w:p>
                  <w:r>
                    <w:t xml:space="preserve">30.9%</w:t>
                  </w:r>
                </w:p>
              </w:tc>
            </w:tr>
            <w:tr>
              <w:trPr/>
              <w:tc>
                <w:tcPr>
                  <w:tcW w:w="1500" w:type="pct"/>
                  <w:vAlign w:val="top"/>
                </w:tcPr>
                <w:p>
                  <w:r>
                    <w:t xml:space="preserve">Balance of Western Australia</w:t>
                  </w:r>
                </w:p>
              </w:tc>
              <w:tc>
                <w:tcPr>
                  <w:tcW w:w="600" w:type="pct"/>
                  <w:vAlign w:val="top"/>
                </w:tcPr>
                <w:p>
                  <w:r>
                    <w:t xml:space="preserve">1,259</w:t>
                  </w:r>
                </w:p>
              </w:tc>
              <w:tc>
                <w:tcPr>
                  <w:tcW w:w="450" w:type="pct"/>
                  <w:vAlign w:val="top"/>
                </w:tcPr>
                <w:p>
                  <w:r>
                    <w:t xml:space="preserve">399</w:t>
                  </w:r>
                </w:p>
              </w:tc>
              <w:tc>
                <w:tcPr>
                  <w:tcW w:w="400" w:type="pct"/>
                  <w:vAlign w:val="top"/>
                </w:tcPr>
                <w:p>
                  <w:r>
                    <w:t xml:space="preserve">197</w:t>
                  </w:r>
                </w:p>
              </w:tc>
              <w:tc>
                <w:tcPr>
                  <w:tcW w:w="400" w:type="pct"/>
                  <w:vAlign w:val="top"/>
                </w:tcPr>
                <w:p>
                  <w:r>
                    <w:t xml:space="preserve">35</w:t>
                  </w:r>
                </w:p>
              </w:tc>
              <w:tc>
                <w:tcPr>
                  <w:tcW w:w="400" w:type="pct"/>
                  <w:vAlign w:val="top"/>
                </w:tcPr>
                <w:p>
                  <w:r>
                    <w:t xml:space="preserve">398</w:t>
                  </w:r>
                </w:p>
              </w:tc>
              <w:tc>
                <w:tcPr>
                  <w:tcW w:w="450" w:type="pct"/>
                  <w:vAlign w:val="top"/>
                </w:tcPr>
                <w:p>
                  <w:r>
                    <w:t xml:space="preserve">230</w:t>
                  </w:r>
                </w:p>
              </w:tc>
              <w:tc>
                <w:tcPr>
                  <w:tcW w:w="600" w:type="pct"/>
                  <w:vAlign w:val="top"/>
                </w:tcPr>
                <w:p>
                  <w:r>
                    <w:t xml:space="preserve">34.7%</w:t>
                  </w:r>
                </w:p>
              </w:tc>
            </w:tr>
            <w:tr>
              <w:trPr/>
              <w:tc>
                <w:tcPr>
                  <w:tcW w:w="1500" w:type="pct"/>
                  <w:vAlign w:val="top"/>
                </w:tcPr>
                <w:p>
                  <w:r>
                    <w:t xml:space="preserve">Hobart</w:t>
                  </w:r>
                </w:p>
              </w:tc>
              <w:tc>
                <w:tcPr>
                  <w:tcW w:w="600" w:type="pct"/>
                  <w:vAlign w:val="top"/>
                </w:tcPr>
                <w:p>
                  <w:r>
                    <w:t xml:space="preserve">1,258</w:t>
                  </w:r>
                </w:p>
              </w:tc>
              <w:tc>
                <w:tcPr>
                  <w:tcW w:w="450" w:type="pct"/>
                  <w:vAlign w:val="top"/>
                </w:tcPr>
                <w:p>
                  <w:r>
                    <w:t xml:space="preserve">454</w:t>
                  </w:r>
                </w:p>
              </w:tc>
              <w:tc>
                <w:tcPr>
                  <w:tcW w:w="400" w:type="pct"/>
                  <w:vAlign w:val="top"/>
                </w:tcPr>
                <w:p>
                  <w:r>
                    <w:t xml:space="preserve">174</w:t>
                  </w:r>
                </w:p>
              </w:tc>
              <w:tc>
                <w:tcPr>
                  <w:tcW w:w="400" w:type="pct"/>
                  <w:vAlign w:val="top"/>
                </w:tcPr>
                <w:p>
                  <w:r>
                    <w:t xml:space="preserve">34</w:t>
                  </w:r>
                </w:p>
              </w:tc>
              <w:tc>
                <w:tcPr>
                  <w:tcW w:w="400" w:type="pct"/>
                  <w:vAlign w:val="top"/>
                </w:tcPr>
                <w:p>
                  <w:r>
                    <w:t xml:space="preserve">357</w:t>
                  </w:r>
                </w:p>
              </w:tc>
              <w:tc>
                <w:tcPr>
                  <w:tcW w:w="450" w:type="pct"/>
                  <w:vAlign w:val="top"/>
                </w:tcPr>
                <w:p>
                  <w:r>
                    <w:t xml:space="preserve">239</w:t>
                  </w:r>
                </w:p>
              </w:tc>
              <w:tc>
                <w:tcPr>
                  <w:tcW w:w="600" w:type="pct"/>
                  <w:vAlign w:val="top"/>
                </w:tcPr>
                <w:p>
                  <w:r>
                    <w:t xml:space="preserve">37.9%</w:t>
                  </w:r>
                </w:p>
              </w:tc>
            </w:tr>
            <w:tr>
              <w:trPr/>
              <w:tc>
                <w:tcPr>
                  <w:tcW w:w="1500" w:type="pct"/>
                  <w:vAlign w:val="top"/>
                </w:tcPr>
                <w:p>
                  <w:r>
                    <w:t xml:space="preserve">Balance of Tasmania</w:t>
                  </w:r>
                </w:p>
              </w:tc>
              <w:tc>
                <w:tcPr>
                  <w:tcW w:w="600" w:type="pct"/>
                  <w:vAlign w:val="top"/>
                </w:tcPr>
                <w:p>
                  <w:r>
                    <w:t xml:space="preserve">1,139</w:t>
                  </w:r>
                </w:p>
              </w:tc>
              <w:tc>
                <w:tcPr>
                  <w:tcW w:w="450" w:type="pct"/>
                  <w:vAlign w:val="top"/>
                </w:tcPr>
                <w:p>
                  <w:r>
                    <w:t xml:space="preserve">358</w:t>
                  </w:r>
                </w:p>
              </w:tc>
              <w:tc>
                <w:tcPr>
                  <w:tcW w:w="400" w:type="pct"/>
                  <w:vAlign w:val="top"/>
                </w:tcPr>
                <w:p>
                  <w:r>
                    <w:t xml:space="preserve">145</w:t>
                  </w:r>
                </w:p>
              </w:tc>
              <w:tc>
                <w:tcPr>
                  <w:tcW w:w="400" w:type="pct"/>
                  <w:vAlign w:val="top"/>
                </w:tcPr>
                <w:p>
                  <w:r>
                    <w:t xml:space="preserve">29</w:t>
                  </w:r>
                </w:p>
              </w:tc>
              <w:tc>
                <w:tcPr>
                  <w:tcW w:w="400" w:type="pct"/>
                  <w:vAlign w:val="top"/>
                </w:tcPr>
                <w:p>
                  <w:r>
                    <w:t xml:space="preserve">352</w:t>
                  </w:r>
                </w:p>
              </w:tc>
              <w:tc>
                <w:tcPr>
                  <w:tcW w:w="450" w:type="pct"/>
                  <w:vAlign w:val="top"/>
                </w:tcPr>
                <w:p>
                  <w:r>
                    <w:t xml:space="preserve">255</w:t>
                  </w:r>
                </w:p>
              </w:tc>
              <w:tc>
                <w:tcPr>
                  <w:tcW w:w="600" w:type="pct"/>
                  <w:vAlign w:val="top"/>
                </w:tcPr>
                <w:p>
                  <w:r>
                    <w:t xml:space="preserve">40.1%</w:t>
                  </w:r>
                </w:p>
              </w:tc>
            </w:tr>
            <w:tr>
              <w:trPr/>
              <w:tc>
                <w:tcPr>
                  <w:tcW w:w="1500" w:type="pct"/>
                  <w:vAlign w:val="top"/>
                </w:tcPr>
                <w:p>
                  <w:r>
                    <w:t xml:space="preserve">Australian Capital Territory</w:t>
                  </w:r>
                </w:p>
              </w:tc>
              <w:tc>
                <w:tcPr>
                  <w:tcW w:w="600" w:type="pct"/>
                  <w:vAlign w:val="top"/>
                </w:tcPr>
                <w:p>
                  <w:r>
                    <w:t xml:space="preserve">2,046</w:t>
                  </w:r>
                </w:p>
              </w:tc>
              <w:tc>
                <w:tcPr>
                  <w:tcW w:w="450" w:type="pct"/>
                  <w:vAlign w:val="top"/>
                </w:tcPr>
                <w:p>
                  <w:r>
                    <w:t xml:space="preserve">720</w:t>
                  </w:r>
                </w:p>
              </w:tc>
              <w:tc>
                <w:tcPr>
                  <w:tcW w:w="400" w:type="pct"/>
                  <w:vAlign w:val="top"/>
                </w:tcPr>
                <w:p>
                  <w:r>
                    <w:t xml:space="preserve">359</w:t>
                  </w:r>
                </w:p>
              </w:tc>
              <w:tc>
                <w:tcPr>
                  <w:tcW w:w="400" w:type="pct"/>
                  <w:vAlign w:val="top"/>
                </w:tcPr>
                <w:p>
                  <w:r>
                    <w:t xml:space="preserve">50</w:t>
                  </w:r>
                </w:p>
              </w:tc>
              <w:tc>
                <w:tcPr>
                  <w:tcW w:w="400" w:type="pct"/>
                  <w:vAlign w:val="top"/>
                </w:tcPr>
                <w:p>
                  <w:r>
                    <w:t xml:space="preserve">498</w:t>
                  </w:r>
                </w:p>
              </w:tc>
              <w:tc>
                <w:tcPr>
                  <w:tcW w:w="450" w:type="pct"/>
                  <w:vAlign w:val="top"/>
                </w:tcPr>
                <w:p>
                  <w:r>
                    <w:t xml:space="preserve">419</w:t>
                  </w:r>
                </w:p>
              </w:tc>
              <w:tc>
                <w:tcPr>
                  <w:tcW w:w="600" w:type="pct"/>
                  <w:vAlign w:val="top"/>
                </w:tcPr>
                <w:p>
                  <w:r>
                    <w:t xml:space="preserve">43.3%</w:t>
                  </w:r>
                </w:p>
              </w:tc>
            </w:tr>
            <w:tr>
              <w:trPr/>
              <w:tc>
                <w:tcPr>
                  <w:tcW w:w="1500" w:type="pct"/>
                  <w:vAlign w:val="top"/>
                </w:tcPr>
                <w:p>
                  <w:r>
                    <w:t xml:space="preserve">Darwin</w:t>
                  </w:r>
                </w:p>
              </w:tc>
              <w:tc>
                <w:tcPr>
                  <w:tcW w:w="600" w:type="pct"/>
                  <w:vAlign w:val="top"/>
                </w:tcPr>
                <w:p>
                  <w:r>
                    <w:t xml:space="preserve">1,650</w:t>
                  </w:r>
                </w:p>
              </w:tc>
              <w:tc>
                <w:tcPr>
                  <w:tcW w:w="450" w:type="pct"/>
                  <w:vAlign w:val="top"/>
                </w:tcPr>
                <w:p>
                  <w:r>
                    <w:t xml:space="preserve">632</w:t>
                  </w:r>
                </w:p>
              </w:tc>
              <w:tc>
                <w:tcPr>
                  <w:tcW w:w="400" w:type="pct"/>
                  <w:vAlign w:val="top"/>
                </w:tcPr>
                <w:p>
                  <w:r>
                    <w:t xml:space="preserve">267</w:t>
                  </w:r>
                </w:p>
              </w:tc>
              <w:tc>
                <w:tcPr>
                  <w:tcW w:w="400" w:type="pct"/>
                  <w:vAlign w:val="top"/>
                </w:tcPr>
                <w:p>
                  <w:r>
                    <w:t xml:space="preserve">55</w:t>
                  </w:r>
                </w:p>
              </w:tc>
              <w:tc>
                <w:tcPr>
                  <w:tcW w:w="400" w:type="pct"/>
                  <w:vAlign w:val="top"/>
                </w:tcPr>
                <w:p>
                  <w:r>
                    <w:t xml:space="preserve">466</w:t>
                  </w:r>
                </w:p>
              </w:tc>
              <w:tc>
                <w:tcPr>
                  <w:tcW w:w="450" w:type="pct"/>
                  <w:vAlign w:val="top"/>
                </w:tcPr>
                <w:p>
                  <w:r>
                    <w:t xml:space="preserve">230</w:t>
                  </w:r>
                </w:p>
              </w:tc>
              <w:tc>
                <w:tcPr>
                  <w:tcW w:w="600" w:type="pct"/>
                  <w:vAlign w:val="top"/>
                </w:tcPr>
                <w:p>
                  <w:r>
                    <w:t xml:space="preserve">30.6%</w:t>
                  </w:r>
                </w:p>
              </w:tc>
            </w:tr>
            <w:tr>
              <w:trPr/>
              <w:tc>
                <w:tcPr>
                  <w:tcW w:w="1500" w:type="pct"/>
                  <w:vAlign w:val="top"/>
                </w:tcPr>
                <w:p>
                  <w:r>
                    <w:t xml:space="preserve">Balance of Northern Territory</w:t>
                  </w:r>
                </w:p>
              </w:tc>
              <w:tc>
                <w:tcPr>
                  <w:tcW w:w="600" w:type="pct"/>
                  <w:vAlign w:val="top"/>
                </w:tcPr>
                <w:p>
                  <w:r>
                    <w:t xml:space="preserve">1,646</w:t>
                  </w:r>
                </w:p>
              </w:tc>
              <w:tc>
                <w:tcPr>
                  <w:tcW w:w="450" w:type="pct"/>
                  <w:vAlign w:val="top"/>
                </w:tcPr>
                <w:p>
                  <w:r>
                    <w:t xml:space="preserve">660</w:t>
                  </w:r>
                </w:p>
              </w:tc>
              <w:tc>
                <w:tcPr>
                  <w:tcW w:w="400" w:type="pct"/>
                  <w:vAlign w:val="top"/>
                </w:tcPr>
                <w:p>
                  <w:r>
                    <w:t xml:space="preserve">341</w:t>
                  </w:r>
                </w:p>
              </w:tc>
              <w:tc>
                <w:tcPr>
                  <w:tcW w:w="400" w:type="pct"/>
                  <w:vAlign w:val="top"/>
                </w:tcPr>
                <w:p>
                  <w:r>
                    <w:t xml:space="preserve">43</w:t>
                  </w:r>
                </w:p>
              </w:tc>
              <w:tc>
                <w:tcPr>
                  <w:tcW w:w="400" w:type="pct"/>
                  <w:vAlign w:val="top"/>
                </w:tcPr>
                <w:p>
                  <w:r>
                    <w:t xml:space="preserve">385</w:t>
                  </w:r>
                </w:p>
              </w:tc>
              <w:tc>
                <w:tcPr>
                  <w:tcW w:w="450" w:type="pct"/>
                  <w:vAlign w:val="top"/>
                </w:tcPr>
                <w:p>
                  <w:r>
                    <w:t xml:space="preserve">217</w:t>
                  </w:r>
                </w:p>
              </w:tc>
              <w:tc>
                <w:tcPr>
                  <w:tcW w:w="600" w:type="pct"/>
                  <w:vAlign w:val="top"/>
                </w:tcPr>
                <w:p>
                  <w:r>
                    <w:t xml:space="preserve">33.6%</w:t>
                  </w:r>
                </w:p>
              </w:tc>
            </w:tr>
            <w:tr>
              <w:trPr/>
              <w:tc>
                <w:tcPr>
                  <w:tcW w:w="1500" w:type="pct"/>
                  <w:vAlign w:val="top"/>
                </w:tcPr>
                <w:p>
                  <w:r>
                    <w:t xml:space="preserve">Total</w:t>
                  </w:r>
                </w:p>
              </w:tc>
              <w:tc>
                <w:tcPr>
                  <w:tcW w:w="600" w:type="pct"/>
                  <w:vAlign w:val="top"/>
                </w:tcPr>
                <w:p>
                  <w:r>
                    <w:t xml:space="preserve">31,515</w:t>
                  </w:r>
                </w:p>
              </w:tc>
              <w:tc>
                <w:tcPr>
                  <w:tcW w:w="450" w:type="pct"/>
                  <w:vAlign w:val="top"/>
                </w:tcPr>
                <w:p>
                  <w:r>
                    <w:t xml:space="preserve">11,254</w:t>
                  </w:r>
                </w:p>
              </w:tc>
              <w:tc>
                <w:tcPr>
                  <w:tcW w:w="400" w:type="pct"/>
                  <w:vAlign w:val="top"/>
                </w:tcPr>
                <w:p>
                  <w:r>
                    <w:t xml:space="preserve">4,457</w:t>
                  </w:r>
                </w:p>
              </w:tc>
              <w:tc>
                <w:tcPr>
                  <w:tcW w:w="400" w:type="pct"/>
                  <w:vAlign w:val="top"/>
                </w:tcPr>
                <w:p>
                  <w:r>
                    <w:t xml:space="preserve">850</w:t>
                  </w:r>
                </w:p>
              </w:tc>
              <w:tc>
                <w:tcPr>
                  <w:tcW w:w="400" w:type="pct"/>
                  <w:vAlign w:val="top"/>
                </w:tcPr>
                <w:p>
                  <w:r>
                    <w:t xml:space="preserve">9,475</w:t>
                  </w:r>
                </w:p>
              </w:tc>
              <w:tc>
                <w:tcPr>
                  <w:tcW w:w="450" w:type="pct"/>
                  <w:vAlign w:val="top"/>
                </w:tcPr>
                <w:p>
                  <w:r>
                    <w:t xml:space="preserve">5,479</w:t>
                  </w:r>
                </w:p>
              </w:tc>
              <w:tc>
                <w:tcPr>
                  <w:tcW w:w="600" w:type="pct"/>
                  <w:vAlign w:val="top"/>
                </w:tcPr>
                <w:p>
                  <w:r>
                    <w:t xml:space="preserve">34.7%</w:t>
                  </w:r>
                </w:p>
              </w:tc>
            </w:tr>
            <w:tr>
              <w:trPr/>
              <w:tc>
                <w:tcPr>
                  <w:tcW w:w="1500" w:type="pct"/>
                  <w:vAlign w:val="top"/>
                </w:tcPr>
                <w:p>
                  <w:r>
                    <w:t xml:space="preserve"> </w:t>
                  </w:r>
                </w:p>
              </w:tc>
              <w:tc>
                <w:tcPr>
                  <w:tcW w:w="600" w:type="pct"/>
                  <w:vAlign w:val="top"/>
                </w:tcPr>
                <w:p>
                  <w:r>
                    <w:t xml:space="preserve"> </w:t>
                  </w:r>
                </w:p>
              </w:tc>
              <w:tc>
                <w:tcPr>
                  <w:tcW w:w="450" w:type="pct"/>
                  <w:vAlign w:val="top"/>
                </w:tcPr>
                <w:p>
                  <w:r>
                    <w:t xml:space="preserve"> </w:t>
                  </w:r>
                </w:p>
              </w:tc>
              <w:tc>
                <w:tcPr>
                  <w:tcW w:w="400" w:type="pct"/>
                  <w:vAlign w:val="top"/>
                </w:tcPr>
                <w:p>
                  <w:r>
                    <w:t xml:space="preserve"> </w:t>
                  </w:r>
                </w:p>
              </w:tc>
              <w:tc>
                <w:tcPr>
                  <w:tcW w:w="400" w:type="pct"/>
                  <w:vAlign w:val="top"/>
                </w:tcPr>
                <w:p>
                  <w:r>
                    <w:t xml:space="preserve"> </w:t>
                  </w:r>
                </w:p>
              </w:tc>
              <w:tc>
                <w:tcPr>
                  <w:tcW w:w="400" w:type="pct"/>
                  <w:vAlign w:val="top"/>
                </w:tcPr>
                <w:p>
                  <w:r>
                    <w:t xml:space="preserve"> </w:t>
                  </w:r>
                </w:p>
              </w:tc>
              <w:tc>
                <w:tcPr>
                  <w:tcW w:w="450" w:type="pct"/>
                  <w:vAlign w:val="top"/>
                </w:tcPr>
                <w:p>
                  <w:r>
                    <w:t xml:space="preserve"> </w:t>
                  </w:r>
                </w:p>
              </w:tc>
              <w:tc>
                <w:tcPr>
                  <w:tcW w:w="600" w:type="pct"/>
                  <w:vAlign w:val="top"/>
                </w:tcPr>
                <w:p>
                  <w:r>
                    <w:t xml:space="preserve"> </w:t>
                  </w:r>
                </w:p>
              </w:tc>
            </w:tr>
            <w:tr>
              <w:trPr/>
              <w:tc>
                <w:tcPr>
                  <w:tcW w:w="1500" w:type="pct"/>
                  <w:vAlign w:val="top"/>
                </w:tcPr>
                <w:p>
                  <w:r>
                    <w:t xml:space="preserve">Mobile Sample</w:t>
                  </w:r>
                </w:p>
              </w:tc>
              <w:tc>
                <w:tcPr>
                  <w:tcW w:w="600" w:type="pct"/>
                  <w:vAlign w:val="top"/>
                </w:tcPr>
                <w:p>
                  <w:r>
                    <w:t xml:space="preserve">6,593</w:t>
                  </w:r>
                </w:p>
              </w:tc>
              <w:tc>
                <w:tcPr>
                  <w:tcW w:w="450" w:type="pct"/>
                  <w:vAlign w:val="top"/>
                </w:tcPr>
                <w:p>
                  <w:r>
                    <w:t xml:space="preserve">2,401</w:t>
                  </w:r>
                </w:p>
              </w:tc>
              <w:tc>
                <w:tcPr>
                  <w:tcW w:w="400" w:type="pct"/>
                  <w:vAlign w:val="top"/>
                </w:tcPr>
                <w:p>
                  <w:r>
                    <w:t xml:space="preserve">1,498</w:t>
                  </w:r>
                </w:p>
              </w:tc>
              <w:tc>
                <w:tcPr>
                  <w:tcW w:w="400" w:type="pct"/>
                  <w:vAlign w:val="top"/>
                </w:tcPr>
                <w:p>
                  <w:r>
                    <w:t xml:space="preserve">376</w:t>
                  </w:r>
                </w:p>
              </w:tc>
              <w:tc>
                <w:tcPr>
                  <w:tcW w:w="400" w:type="pct"/>
                  <w:vAlign w:val="top"/>
                </w:tcPr>
                <w:p>
                  <w:r>
                    <w:t xml:space="preserve">1,449</w:t>
                  </w:r>
                </w:p>
              </w:tc>
              <w:tc>
                <w:tcPr>
                  <w:tcW w:w="450" w:type="pct"/>
                  <w:vAlign w:val="top"/>
                </w:tcPr>
                <w:p>
                  <w:r>
                    <w:t xml:space="preserve">869</w:t>
                  </w:r>
                </w:p>
              </w:tc>
              <w:tc>
                <w:tcPr>
                  <w:tcW w:w="600" w:type="pct"/>
                  <w:vAlign w:val="top"/>
                </w:tcPr>
                <w:p>
                  <w:r>
                    <w:t xml:space="preserve">32.3%</w:t>
                  </w:r>
                </w:p>
              </w:tc>
            </w:tr>
            <w:tr>
              <w:trPr/>
              <w:tc>
                <w:tcPr>
                  <w:tcW w:w="1500" w:type="pct"/>
                  <w:vAlign w:val="top"/>
                </w:tcPr>
                <w:p>
                  <w:r>
                    <w:t xml:space="preserve"> </w:t>
                  </w:r>
                </w:p>
              </w:tc>
              <w:tc>
                <w:tcPr>
                  <w:tcW w:w="600" w:type="pct"/>
                  <w:vAlign w:val="top"/>
                </w:tcPr>
                <w:p>
                  <w:r>
                    <w:t xml:space="preserve"> </w:t>
                  </w:r>
                </w:p>
              </w:tc>
              <w:tc>
                <w:tcPr>
                  <w:tcW w:w="450" w:type="pct"/>
                  <w:vAlign w:val="top"/>
                </w:tcPr>
                <w:p>
                  <w:r>
                    <w:t xml:space="preserve"> </w:t>
                  </w:r>
                </w:p>
              </w:tc>
              <w:tc>
                <w:tcPr>
                  <w:tcW w:w="400" w:type="pct"/>
                  <w:vAlign w:val="top"/>
                </w:tcPr>
                <w:p>
                  <w:r>
                    <w:t xml:space="preserve"> </w:t>
                  </w:r>
                </w:p>
              </w:tc>
              <w:tc>
                <w:tcPr>
                  <w:tcW w:w="400" w:type="pct"/>
                  <w:vAlign w:val="top"/>
                </w:tcPr>
                <w:p>
                  <w:r>
                    <w:t xml:space="preserve"> </w:t>
                  </w:r>
                </w:p>
              </w:tc>
              <w:tc>
                <w:tcPr>
                  <w:tcW w:w="400" w:type="pct"/>
                  <w:vAlign w:val="top"/>
                </w:tcPr>
                <w:p>
                  <w:r>
                    <w:t xml:space="preserve"> </w:t>
                  </w:r>
                </w:p>
              </w:tc>
              <w:tc>
                <w:tcPr>
                  <w:tcW w:w="450" w:type="pct"/>
                  <w:vAlign w:val="top"/>
                </w:tcPr>
                <w:p>
                  <w:r>
                    <w:t xml:space="preserve"> </w:t>
                  </w:r>
                </w:p>
              </w:tc>
              <w:tc>
                <w:tcPr>
                  <w:tcW w:w="600" w:type="pct"/>
                  <w:vAlign w:val="top"/>
                </w:tcPr>
                <w:p>
                  <w:r>
                    <w:t xml:space="preserve"> </w:t>
                  </w:r>
                </w:p>
              </w:tc>
            </w:tr>
            <w:tr>
              <w:trPr/>
              <w:tc>
                <w:tcPr>
                  <w:tcW w:w="1500" w:type="pct"/>
                  <w:vAlign w:val="top"/>
                </w:tcPr>
                <w:p>
                  <w:r>
                    <w:t xml:space="preserve">TOTAL</w:t>
                  </w:r>
                </w:p>
              </w:tc>
              <w:tc>
                <w:tcPr>
                  <w:tcW w:w="600" w:type="pct"/>
                  <w:vAlign w:val="top"/>
                </w:tcPr>
                <w:p>
                  <w:r>
                    <w:t xml:space="preserve">38,108</w:t>
                  </w:r>
                </w:p>
              </w:tc>
              <w:tc>
                <w:tcPr>
                  <w:tcW w:w="450" w:type="pct"/>
                  <w:vAlign w:val="top"/>
                </w:tcPr>
                <w:p>
                  <w:r>
                    <w:t xml:space="preserve">13,655</w:t>
                  </w:r>
                </w:p>
              </w:tc>
              <w:tc>
                <w:tcPr>
                  <w:tcW w:w="400" w:type="pct"/>
                  <w:vAlign w:val="top"/>
                </w:tcPr>
                <w:p>
                  <w:r>
                    <w:t xml:space="preserve">5,955</w:t>
                  </w:r>
                </w:p>
              </w:tc>
              <w:tc>
                <w:tcPr>
                  <w:tcW w:w="400" w:type="pct"/>
                  <w:vAlign w:val="top"/>
                </w:tcPr>
                <w:p>
                  <w:r>
                    <w:t xml:space="preserve">1,226</w:t>
                  </w:r>
                </w:p>
              </w:tc>
              <w:tc>
                <w:tcPr>
                  <w:tcW w:w="400" w:type="pct"/>
                  <w:vAlign w:val="top"/>
                </w:tcPr>
                <w:p>
                  <w:r>
                    <w:t xml:space="preserve">10,924</w:t>
                  </w:r>
                </w:p>
              </w:tc>
              <w:tc>
                <w:tcPr>
                  <w:tcW w:w="450" w:type="pct"/>
                  <w:vAlign w:val="top"/>
                </w:tcPr>
                <w:p>
                  <w:r>
                    <w:t xml:space="preserve">6,348</w:t>
                  </w:r>
                </w:p>
              </w:tc>
              <w:tc>
                <w:tcPr>
                  <w:tcW w:w="600" w:type="pct"/>
                  <w:vAlign w:val="top"/>
                </w:tcPr>
                <w:p>
                  <w:r>
                    <w:t xml:space="preserve">34.3%</w:t>
                  </w:r>
                </w:p>
              </w:tc>
            </w:tr>
          </w:tbl>
          <w:p>
            <w:r>
              <w:t xml:space="preserve"> As with all survey data, these data are subject to sampling error and non-response bias. Data are weighted and the magnitude of sampling error is indicated by 95% confidence intervals included with all published estimates.</w:t>
            </w:r>
          </w:p>
          <w:p>
            <w:r>
              <w:t xml:space="preserve">Interviews were rendered invalid if they were missing the demographic data necessary to derive the survey weights. These requirements were the sex, age, residential location, and for persons selected from the EWP sampling frame, the number of persons resident in the household who were eligible for selection. Due to incomplete data, 7 records (0.1%) were excluded from the final dataset.</w:t>
            </w:r>
          </w:p>
          <w:p>
            <w:r>
              <w:t xml:space="preserve">For those records which were able to be weighted there were very few missing data items. Consequently, all weighted records generated useable data for analysis.</w:t>
            </w:r>
          </w:p>
          <w:p>
            <w:r>
              <w:t xml:space="preserve">Detailed description of survey methodology can be found in the 2013 National Dental Telephone Interview Technical Report at </w:t>
            </w:r>
            <w:hyperlink w:history="true" r:id="R203e04475fc8423b">
              <w:r>
                <w:rPr>
                  <w:rStyle w:val="Hyperlink"/>
                </w:rPr>
                <w:t xml:space="preserve">http://www.adelaide.edu.au/arcpoh/publications/reports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NDTIS has been conducted regularly since 1994. While some changes have been made to the questionnaire and methodology over time, the data items used to derive most estimates have been consistent over time. Specific questions asked in each NDTIS are listed in appendices to the technical reports for each survey. These technical reports are available at </w:t>
            </w:r>
            <w:hyperlink w:history="true" r:id="R86794aa91a2a4070">
              <w:r>
                <w:rPr>
                  <w:rStyle w:val="Hyperlink"/>
                </w:rPr>
                <w:t xml:space="preserve">http://www.adelaide.edu.au/arcpoh/publications/reports/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Chrisopoulos S, Harford JE &amp; Ellershaw A 2016. Oral health and dental care in Australia: key facts and figures 2015. Cat. no. DEN 229. Canberra: AIHW</w:t>
            </w:r>
          </w:p>
        </w:tc>
      </w:tr>
    </w:tbl>
    <w:p>
      <w:r>
        <w:br/>
      </w:r>
    </w:p>
    <w:sectPr>
      <w:footerReference xmlns:r="http://schemas.openxmlformats.org/officeDocument/2006/relationships" w:type="default" r:id="R23e712ef132541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629709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cf6358ef0f4d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e712ef13254168" /><Relationship Type="http://schemas.openxmlformats.org/officeDocument/2006/relationships/header" Target="/word/header1.xml" Id="Rd72a1d88e5ce4974" /><Relationship Type="http://schemas.openxmlformats.org/officeDocument/2006/relationships/settings" Target="/word/settings.xml" Id="R3e89a8efe7b14ba8" /><Relationship Type="http://schemas.openxmlformats.org/officeDocument/2006/relationships/styles" Target="/word/styles.xml" Id="R03abcddd625d4b8e" /><Relationship Type="http://schemas.openxmlformats.org/officeDocument/2006/relationships/hyperlink" Target="https://meteor.aihw.gov.au/RegistrationAuthority/5" TargetMode="External" Id="R42926d83916b4d49" /><Relationship Type="http://schemas.openxmlformats.org/officeDocument/2006/relationships/numbering" Target="/word/numbering.xml" Id="R77584d85eded4bea" /><Relationship Type="http://schemas.openxmlformats.org/officeDocument/2006/relationships/hyperlink" Target="http://www.aihw.gov.au/" TargetMode="External" Id="Rad40502447b44ac1" /><Relationship Type="http://schemas.openxmlformats.org/officeDocument/2006/relationships/hyperlink" Target="http://www.aihw.gov.au/publications/" TargetMode="External" Id="Rec9d2fdeceb24dc1" /><Relationship Type="http://schemas.openxmlformats.org/officeDocument/2006/relationships/hyperlink" Target="http://www.arcpoh.adelaide.edu.au/publications/report/" TargetMode="External" Id="Rfe73bded08be4227" /><Relationship Type="http://schemas.openxmlformats.org/officeDocument/2006/relationships/hyperlink" Target="http://www.aihw.gov.au/dental-and-oral-health/" TargetMode="External" Id="R1a9d3b5e3437418f" /><Relationship Type="http://schemas.openxmlformats.org/officeDocument/2006/relationships/hyperlink" Target="mailto:info@aihw.gov.au" TargetMode="External" Id="Read3bfa7cede4b91" /><Relationship Type="http://schemas.openxmlformats.org/officeDocument/2006/relationships/hyperlink" Target="mailto:arcpoh@adelaide.edu.au" TargetMode="External" Id="Rd22f3bc99c974deb" /><Relationship Type="http://schemas.openxmlformats.org/officeDocument/2006/relationships/hyperlink" Target="http://www.arcpoh.adelaide.edu.au/publications/report/" TargetMode="External" Id="R203e04475fc8423b" /><Relationship Type="http://schemas.openxmlformats.org/officeDocument/2006/relationships/hyperlink" Target="http://www.adelaide.edu.au/arcpoh/publications/reports/" TargetMode="External" Id="R86794aa91a2a4070" /></Relationships>
</file>

<file path=word/_rels/header1.xml.rels>&#65279;<?xml version="1.0" encoding="utf-8"?><Relationships xmlns="http://schemas.openxmlformats.org/package/2006/relationships"><Relationship Type="http://schemas.openxmlformats.org/officeDocument/2006/relationships/image" Target="/media/image.png" Id="R17cf6358ef0f4da3" /></Relationships>
</file>