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ab2da9ddae4f4f" /></Relationships>
</file>

<file path=word/document.xml><?xml version="1.0" encoding="utf-8"?>
<w:document xmlns:r="http://schemas.openxmlformats.org/officeDocument/2006/relationships" xmlns:w="http://schemas.openxmlformats.org/wordprocessingml/2006/main">
  <w:body>
    <w:p>
      <w:pPr>
        <w:pStyle w:val="Title"/>
      </w:pPr>
      <w:r>
        <w:t>Non-ST-segment-elevation acute coronary syndrome (NSTEACS) (Acute coronary syndromes clinical care standard)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Non-ST-segment-elevation acute coronary syndrome (NSTEACS) (Acute coronary syndromes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Non-ST-segment elevation myocardial infarction (NSTEMI)  (Acute coronary syndromes clinical care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73378bf9740ec">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the Acute coronary syndromes clinical care standard (ACSQHC 2014), a non-ST-segment-elevation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20a8ae419992475a">
              <w:r>
                <w:rPr>
                  <w:rStyle w:val="Hyperlink"/>
                  <w:b/>
                </w:rPr>
                <w:t xml:space="preserve">acute coronary syndrome</w:t>
              </w:r>
            </w:hyperlink>
            <w:r>
              <w:rPr>
                <w:rStyle w:val="row-content-rich-text"/>
              </w:rPr>
              <w:t xml:space="preserve"> (NSTEACS) is when a myocardial infarction is either short-lived or affects only a small territory of the heart muscle (myocardium). An electrocardiogram (ECG) will often show either no abnormality or subtle changes. It is also known as a non-ST-segment-elevation myocardial infarction (NSTEMI). Unstable angina is also included in the scope of NSTEACS.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Clinical care standard indicators: acute coronary syndromes​, it includes patients where:</w:t>
            </w:r>
          </w:p>
          <w:p>
            <w:pPr>
              <w:pStyle w:val="ListParagraph"/>
              <w:numPr>
                <w:ilvl w:val="0"/>
                <w:numId w:val="2"/>
              </w:numPr>
            </w:pPr>
            <w:hyperlink w:history="true" r:id="R619728b5b3134a61">
              <w:r>
                <w:rPr>
                  <w:rStyle w:val="Hyperlink"/>
                </w:rPr>
                <w:t xml:space="preserve">Hospital service—care type, code N[N]</w:t>
              </w:r>
            </w:hyperlink>
            <w:r>
              <w:rPr>
                <w:rStyle w:val="row-content-rich-text"/>
              </w:rPr>
              <w:t xml:space="preserve"> = 1 Acute care and</w:t>
            </w:r>
          </w:p>
          <w:p>
            <w:pPr>
              <w:pStyle w:val="ListParagraph"/>
              <w:numPr>
                <w:ilvl w:val="0"/>
                <w:numId w:val="3"/>
              </w:numPr>
            </w:pPr>
            <w:hyperlink w:history="true" r:id="Rcf1f8c665bed4f95">
              <w:r>
                <w:rPr>
                  <w:rStyle w:val="Hyperlink"/>
                </w:rPr>
                <w:t xml:space="preserve">Episode of care—principal diagnosis, code (ICD-10-AM 9th edn) ANN{.N[N]}</w:t>
              </w:r>
            </w:hyperlink>
            <w:r>
              <w:rPr>
                <w:rStyle w:val="row-content-rich-text"/>
              </w:rPr>
              <w:t xml:space="preserve"> or </w:t>
            </w:r>
            <w:hyperlink w:history="true" r:id="Rb53d9ff6cf42408f">
              <w:r>
                <w:rPr>
                  <w:rStyle w:val="Hyperlink"/>
                </w:rPr>
                <w:t xml:space="preserve">Episode of care—additional diagnosis, code (ICD-10-AM 9th edn) ANN{.N[N]}</w:t>
              </w:r>
            </w:hyperlink>
            <w:r>
              <w:rPr>
                <w:rStyle w:val="row-content-rich-text"/>
              </w:rPr>
              <w:t xml:space="preserve"> is one of the following:</w:t>
            </w:r>
            <w:r>
              <w:br/>
            </w:r>
            <w:r>
              <w:rPr>
                <w:rStyle w:val="row-content-rich-text"/>
              </w:rPr>
              <w:t xml:space="preserve">        • I21.4 Acute subendocardial myocardial infarction (NSTEMI)</w:t>
            </w:r>
            <w:r>
              <w:br/>
            </w:r>
            <w:r>
              <w:rPr>
                <w:rStyle w:val="row-content-rich-text"/>
              </w:rPr>
              <w:t xml:space="preserve">        • I20.0 Unstable angina.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6bfd277922d47a2">
              <w:r>
                <w:rPr>
                  <w:rStyle w:val="Hyperlink"/>
                </w:rPr>
                <w:t xml:space="preserve">Acute coronary syndrome (Acute coronary syndromes clinical care standard​)</w:t>
              </w:r>
            </w:hyperlink>
          </w:p>
          <w:p>
            <w:pPr>
              <w:spacing w:before="0" w:after="0"/>
            </w:pPr>
            <w:r>
              <w:rPr>
                <w:rStyle w:val="row-content"/>
                <w:color w:val="244061"/>
              </w:rPr>
              <w:t xml:space="preserve">       </w:t>
            </w:r>
            <w:hyperlink w:history="true" r:id="Rab98098363fe4f50">
              <w:r>
                <w:rPr>
                  <w:rStyle w:val="Hyperlink"/>
                  <w:color w:val="244061"/>
                </w:rPr>
                <w:t xml:space="preserve">Health</w:t>
              </w:r>
            </w:hyperlink>
            <w:r>
              <w:rPr>
                <w:rStyle w:val="row-content"/>
                <w:color w:val="244061"/>
              </w:rPr>
              <w:t xml:space="preserve">, Standard 12/09/2016</w:t>
            </w:r>
          </w:p>
          <w:p>
            <w:r>
              <w:br/>
            </w:r>
            <w:hyperlink w:history="true" r:id="R525192ec2e8e4ead">
              <w:r>
                <w:rPr>
                  <w:rStyle w:val="Hyperlink"/>
                </w:rPr>
                <w:t xml:space="preserve">Acute coronary syndromes: 4a-NSTEACS patients with documented assessment and risk stratification</w:t>
              </w:r>
            </w:hyperlink>
          </w:p>
          <w:p>
            <w:pPr>
              <w:spacing w:before="0" w:after="0"/>
            </w:pPr>
            <w:r>
              <w:rPr>
                <w:rStyle w:val="row-content"/>
                <w:color w:val="244061"/>
              </w:rPr>
              <w:t xml:space="preserve">       </w:t>
            </w:r>
            <w:hyperlink w:history="true" r:id="R6f22b2e2dd534a79">
              <w:r>
                <w:rPr>
                  <w:rStyle w:val="Hyperlink"/>
                  <w:color w:val="244061"/>
                </w:rPr>
                <w:t xml:space="preserve">Health</w:t>
              </w:r>
            </w:hyperlink>
            <w:r>
              <w:rPr>
                <w:rStyle w:val="row-content"/>
                <w:color w:val="244061"/>
              </w:rPr>
              <w:t xml:space="preserve">, Standard 12/09/2016</w:t>
            </w:r>
          </w:p>
          <w:p>
            <w:r>
              <w:br/>
            </w:r>
            <w:hyperlink w:history="true" r:id="Rf87a3fb46f554c29">
              <w:r>
                <w:rPr>
                  <w:rStyle w:val="Hyperlink"/>
                </w:rPr>
                <w:t xml:space="preserve">Acute coronary syndromes: 4b-NSTEACS patients transferred to hospital with angiography facilities</w:t>
              </w:r>
            </w:hyperlink>
          </w:p>
          <w:p>
            <w:pPr>
              <w:spacing w:before="0" w:after="0"/>
            </w:pPr>
            <w:r>
              <w:rPr>
                <w:rStyle w:val="row-content"/>
                <w:color w:val="244061"/>
              </w:rPr>
              <w:t xml:space="preserve">       </w:t>
            </w:r>
            <w:hyperlink w:history="true" r:id="Re3d5732f79ab482b">
              <w:r>
                <w:rPr>
                  <w:rStyle w:val="Hyperlink"/>
                  <w:color w:val="244061"/>
                </w:rPr>
                <w:t xml:space="preserve">Health</w:t>
              </w:r>
            </w:hyperlink>
            <w:r>
              <w:rPr>
                <w:rStyle w:val="row-content"/>
                <w:color w:val="244061"/>
              </w:rPr>
              <w:t xml:space="preserve">, Standard 12/09/2016</w:t>
            </w:r>
          </w:p>
          <w:p>
            <w:r>
              <w:br/>
            </w:r>
            <w:hyperlink w:history="true" r:id="Rc4dcf95e1e21401c">
              <w:r>
                <w:rPr>
                  <w:rStyle w:val="Hyperlink"/>
                </w:rPr>
                <w:t xml:space="preserve">Acute coronary syndromes: 5a-NSTEACS patients informed of the risks and benefits of coronary angiography</w:t>
              </w:r>
            </w:hyperlink>
          </w:p>
          <w:p>
            <w:pPr>
              <w:spacing w:before="0" w:after="0"/>
            </w:pPr>
            <w:r>
              <w:rPr>
                <w:rStyle w:val="row-content"/>
                <w:color w:val="244061"/>
              </w:rPr>
              <w:t xml:space="preserve">       </w:t>
            </w:r>
            <w:hyperlink w:history="true" r:id="Rb0bf38a7986e4dbc">
              <w:r>
                <w:rPr>
                  <w:rStyle w:val="Hyperlink"/>
                  <w:color w:val="244061"/>
                </w:rPr>
                <w:t xml:space="preserve">Health</w:t>
              </w:r>
            </w:hyperlink>
            <w:r>
              <w:rPr>
                <w:rStyle w:val="row-content"/>
                <w:color w:val="244061"/>
              </w:rPr>
              <w:t xml:space="preserve">, Standard 12/09/2016</w:t>
            </w:r>
          </w:p>
          <w:p>
            <w:r>
              <w:br/>
            </w:r>
            <w:hyperlink w:history="true" r:id="R6f6c34b34b184f88">
              <w:r>
                <w:rPr>
                  <w:rStyle w:val="Hyperlink"/>
                </w:rPr>
                <w:t xml:space="preserve">Coronary angiography</w:t>
              </w:r>
            </w:hyperlink>
          </w:p>
          <w:p>
            <w:pPr>
              <w:spacing w:before="0" w:after="0"/>
            </w:pPr>
            <w:r>
              <w:rPr>
                <w:rStyle w:val="row-content"/>
                <w:color w:val="244061"/>
              </w:rPr>
              <w:t xml:space="preserve">       </w:t>
            </w:r>
            <w:hyperlink w:history="true" r:id="Rdf104589fb6b4f22">
              <w:r>
                <w:rPr>
                  <w:rStyle w:val="Hyperlink"/>
                  <w:color w:val="244061"/>
                </w:rPr>
                <w:t xml:space="preserve">Health</w:t>
              </w:r>
            </w:hyperlink>
            <w:r>
              <w:rPr>
                <w:rStyle w:val="row-content"/>
                <w:color w:val="244061"/>
              </w:rPr>
              <w:t xml:space="preserve">, Standard 12/09/2016</w:t>
            </w:r>
          </w:p>
          <w:p>
            <w:r>
              <w:br/>
            </w:r>
            <w:hyperlink w:history="true" r:id="R279e52a1989847cf">
              <w:r>
                <w:rPr>
                  <w:rStyle w:val="Hyperlink"/>
                </w:rPr>
                <w:t xml:space="preserve">Risk stratification</w:t>
              </w:r>
            </w:hyperlink>
          </w:p>
          <w:p>
            <w:pPr>
              <w:spacing w:before="0" w:after="0"/>
            </w:pPr>
            <w:r>
              <w:rPr>
                <w:rStyle w:val="row-content"/>
                <w:color w:val="244061"/>
              </w:rPr>
              <w:t xml:space="preserve">       </w:t>
            </w:r>
            <w:hyperlink w:history="true" r:id="R6d0f57a1a481417e">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17b1dc3a5be342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629404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7acce1a03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1dc3a5be34296" /><Relationship Type="http://schemas.openxmlformats.org/officeDocument/2006/relationships/header" Target="/word/header1.xml" Id="R0f2cabae769c4314" /><Relationship Type="http://schemas.openxmlformats.org/officeDocument/2006/relationships/settings" Target="/word/settings.xml" Id="R20e9316884b040c5" /><Relationship Type="http://schemas.openxmlformats.org/officeDocument/2006/relationships/styles" Target="/word/styles.xml" Id="R56e9c5643afd4eed" /><Relationship Type="http://schemas.openxmlformats.org/officeDocument/2006/relationships/hyperlink" Target="https://meteor.aihw.gov.au/RegistrationAuthority/12" TargetMode="External" Id="R44473378bf9740ec" /><Relationship Type="http://schemas.openxmlformats.org/officeDocument/2006/relationships/hyperlink" Target="https://meteor.aihw.gov.au/content/628778" TargetMode="External" Id="R20a8ae419992475a" /><Relationship Type="http://schemas.openxmlformats.org/officeDocument/2006/relationships/numbering" Target="/word/numbering.xml" Id="R3ab9de0940e4405d" /><Relationship Type="http://schemas.openxmlformats.org/officeDocument/2006/relationships/hyperlink" Target="https://meteor.aihw.gov.au/content/584408" TargetMode="External" Id="R619728b5b3134a61" /><Relationship Type="http://schemas.openxmlformats.org/officeDocument/2006/relationships/hyperlink" Target="https://meteor.aihw.gov.au/content/588987" TargetMode="External" Id="Rcf1f8c665bed4f95" /><Relationship Type="http://schemas.openxmlformats.org/officeDocument/2006/relationships/hyperlink" Target="https://meteor.aihw.gov.au/content/588981" TargetMode="External" Id="Rb53d9ff6cf42408f" /><Relationship Type="http://schemas.openxmlformats.org/officeDocument/2006/relationships/hyperlink" Target="https://meteor.aihw.gov.au/content/628778" TargetMode="External" Id="R66bfd277922d47a2" /><Relationship Type="http://schemas.openxmlformats.org/officeDocument/2006/relationships/hyperlink" Target="https://meteor.aihw.gov.au/RegistrationAuthority/12" TargetMode="External" Id="Rab98098363fe4f50" /><Relationship Type="http://schemas.openxmlformats.org/officeDocument/2006/relationships/hyperlink" Target="https://meteor.aihw.gov.au/content/612076" TargetMode="External" Id="R525192ec2e8e4ead" /><Relationship Type="http://schemas.openxmlformats.org/officeDocument/2006/relationships/hyperlink" Target="https://meteor.aihw.gov.au/RegistrationAuthority/12" TargetMode="External" Id="R6f22b2e2dd534a79" /><Relationship Type="http://schemas.openxmlformats.org/officeDocument/2006/relationships/hyperlink" Target="https://meteor.aihw.gov.au/content/612079" TargetMode="External" Id="Rf87a3fb46f554c29" /><Relationship Type="http://schemas.openxmlformats.org/officeDocument/2006/relationships/hyperlink" Target="https://meteor.aihw.gov.au/RegistrationAuthority/12" TargetMode="External" Id="Re3d5732f79ab482b" /><Relationship Type="http://schemas.openxmlformats.org/officeDocument/2006/relationships/hyperlink" Target="https://meteor.aihw.gov.au/content/612081" TargetMode="External" Id="Rc4dcf95e1e21401c" /><Relationship Type="http://schemas.openxmlformats.org/officeDocument/2006/relationships/hyperlink" Target="https://meteor.aihw.gov.au/RegistrationAuthority/12" TargetMode="External" Id="Rb0bf38a7986e4dbc" /><Relationship Type="http://schemas.openxmlformats.org/officeDocument/2006/relationships/hyperlink" Target="https://meteor.aihw.gov.au/content/624378" TargetMode="External" Id="R6f6c34b34b184f88" /><Relationship Type="http://schemas.openxmlformats.org/officeDocument/2006/relationships/hyperlink" Target="https://meteor.aihw.gov.au/RegistrationAuthority/12" TargetMode="External" Id="Rdf104589fb6b4f22" /><Relationship Type="http://schemas.openxmlformats.org/officeDocument/2006/relationships/hyperlink" Target="https://meteor.aihw.gov.au/content/624374" TargetMode="External" Id="R279e52a1989847cf" /><Relationship Type="http://schemas.openxmlformats.org/officeDocument/2006/relationships/hyperlink" Target="https://meteor.aihw.gov.au/RegistrationAuthority/12" TargetMode="External" Id="R6d0f57a1a481417e" /></Relationships>
</file>

<file path=word/_rels/header1.xml.rels>&#65279;<?xml version="1.0" encoding="utf-8"?><Relationships xmlns="http://schemas.openxmlformats.org/package/2006/relationships"><Relationship Type="http://schemas.openxmlformats.org/officeDocument/2006/relationships/image" Target="/media/image.png" Id="R10a7acce1a034d4e" /></Relationships>
</file>