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1f6e4fcc514598"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7b-Proportion of patients with a hip fracture returning to private residence</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7b-Proportion of patients with a hip fracture returning to private residence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7b-Proportion of patients with a hip fracture returning to 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c9b31c721547d2">
              <w:r>
                <w:rPr>
                  <w:rStyle w:val="Hyperlink"/>
                  <w:color w:val="244061"/>
                </w:rPr>
                <w:t xml:space="preserve">Australian Commission on Safety and Quality in Health Care</w:t>
              </w:r>
            </w:hyperlink>
            <w:r>
              <w:rPr>
                <w:rStyle w:val="row-content"/>
                <w:color w:val="244061"/>
              </w:rPr>
              <w:t xml:space="preserve">, Retired 15/05/2018</w:t>
            </w:r>
          </w:p>
          <w:p>
            <w:pPr>
              <w:spacing w:before="0" w:after="0"/>
            </w:pPr>
            <w:hyperlink w:history="true" r:id="R2aff72fdb799447b">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9f288a90c47c4c44">
              <w:r>
                <w:rPr>
                  <w:rStyle w:val="Hyperlink"/>
                  <w:b/>
                </w:rPr>
                <w:t xml:space="preserve">hip fracture</w:t>
              </w:r>
            </w:hyperlink>
            <w:r>
              <w:rPr>
                <w:rStyle w:val="row-content-rich-text"/>
              </w:rPr>
              <w:t xml:space="preserve"> living in a private residence prior to their hip fracture returning to private residence within 120 days post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range of interventions has been shown to improve outcomes for hip fracture patients. These include medication review, secondary fracture prevention, treatment/management of co-morbidities, addressing mental health/cognitive needs (prevention/management of delirium in particular), environmental modifications, and linkage into cultural services, primary care, community support services and carer support services (ACSQHC 2009).</w:t>
            </w:r>
          </w:p>
          <w:p>
            <w:pPr/>
            <w:r>
              <w:rPr>
                <w:rStyle w:val="row-content-rich-text"/>
              </w:rPr>
              <w:t xml:space="preserve">Effective discharge planning and an individualised care plan can maximise a patient’s prospects of returning to their 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75b963446b4b74">
              <w:r>
                <w:rPr>
                  <w:rStyle w:val="Hyperlink"/>
                </w:rPr>
                <w:t xml:space="preserve">Clinical care standard indicators: hip fracture</w:t>
              </w:r>
            </w:hyperlink>
          </w:p>
          <w:p>
            <w:pPr>
              <w:spacing w:before="0" w:after="0"/>
            </w:pPr>
            <w:r>
              <w:rPr>
                <w:rStyle w:val="row-content"/>
                <w:color w:val="244061"/>
              </w:rPr>
              <w:t xml:space="preserve">       </w:t>
            </w:r>
            <w:hyperlink w:history="true" r:id="R871e7eb7e7354632">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b5ad0c2af5fd4bcf">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6fc60d6013d40b2">
              <w:r>
                <w:rPr>
                  <w:rStyle w:val="Hyperlink"/>
                </w:rPr>
                <w:t xml:space="preserve">Transition from hospital care</w:t>
              </w:r>
            </w:hyperlink>
          </w:p>
          <w:p>
            <w:pPr>
              <w:spacing w:before="0" w:after="0"/>
            </w:pPr>
            <w:r>
              <w:rPr>
                <w:rStyle w:val="row-content"/>
                <w:color w:val="244061"/>
              </w:rPr>
              <w:t xml:space="preserve">       </w:t>
            </w:r>
            <w:hyperlink w:history="true" r:id="R4ee2799521b34267">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living in a private residence prior to the hip fracture who also resided in a private residence 120 days post separation from hospital (including those that may not have resided in a private residence in the intervening period, but did so prior to the 120 days). Private residence includes a private home, community group home, boarding house and a unit in a retirement village. It excludes residential aged care facilities/rest homes, rehabilitation units (short term or other) and any other institutions.</w:t>
            </w:r>
          </w:p>
          <w:p>
            <w:pPr>
              <w:spacing w:after="160"/>
            </w:pPr>
            <w:r>
              <w:rPr>
                <w:rStyle w:val="row-content-rich-text"/>
              </w:rPr>
              <w:t xml:space="preserve">The 120 days post separation from hospital should be calculated from </w:t>
            </w:r>
            <w:hyperlink w:history="true" r:id="Rcf87a4b5d8ae4b9b">
              <w:r>
                <w:rPr>
                  <w:rStyle w:val="Hyperlink"/>
                </w:rPr>
                <w:t xml:space="preserve">Episode of admitted patient care—separation date, DDMMYYYY</w:t>
              </w:r>
            </w:hyperlink>
            <w:r>
              <w:rPr>
                <w:rStyle w:val="row-content-rich-text"/>
              </w:rPr>
              <w:t xml:space="preserve"> from the hip fracture episode of care. That is, if the patient continues their stay in hospital following the hip fracture episode of care to receive rehabilitation care on an admitted basis, the date of separation should be counted as the date on which their care is transferred from the orthopaedic team to the rehabilitation team.</w:t>
            </w:r>
          </w:p>
          <w:p>
            <w:pPr>
              <w:spacing w:after="160"/>
            </w:pPr>
            <w:r>
              <w:rPr>
                <w:rStyle w:val="row-content-rich-text"/>
              </w:rPr>
              <w:t xml:space="preserve">Both the numerator and the denominator only include patients with hip fracture who were followed up at 120 days. Exclude patients who:</w:t>
            </w:r>
          </w:p>
          <w:p>
            <w:pPr>
              <w:pStyle w:val="ListParagraph"/>
              <w:numPr>
                <w:ilvl w:val="0"/>
                <w:numId w:val="2"/>
              </w:numPr>
            </w:pPr>
            <w:r>
              <w:rPr>
                <w:rStyle w:val="row-content-rich-text"/>
              </w:rPr>
              <w:t xml:space="preserve">Were reported at admission as not residing within a private residence or their place of residence was not recorded or recorded as ‘Not known’.</w:t>
            </w:r>
          </w:p>
          <w:p>
            <w:pPr>
              <w:pStyle w:val="ListParagraph"/>
              <w:numPr>
                <w:ilvl w:val="0"/>
                <w:numId w:val="2"/>
              </w:numPr>
            </w:pPr>
            <w:r>
              <w:rPr>
                <w:rStyle w:val="row-content-rich-text"/>
              </w:rPr>
              <w:t xml:space="preserve">Died during the hip fracture episode (i.e. where </w:t>
            </w:r>
            <w:hyperlink w:history="true" r:id="Re9d3fe6e427a484d">
              <w:r>
                <w:rPr>
                  <w:rStyle w:val="Hyperlink"/>
                </w:rPr>
                <w:t xml:space="preserve">Episode of admitted patient care—separation mode, code N</w:t>
              </w:r>
            </w:hyperlink>
            <w:r>
              <w:rPr>
                <w:rStyle w:val="row-content-rich-text"/>
              </w:rPr>
              <w:t xml:space="preserve"> = 8 Died) or were deceased at the 120-day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living in a private residence prior to their hip fracture who return to private residence within 120 days following their separation from the hip surgery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living in a private residence prior to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variables </w:t>
            </w:r>
            <w:r>
              <w:rPr>
                <w:rStyle w:val="row-content-rich-text"/>
                <w:i/>
              </w:rPr>
              <w:t xml:space="preserve">Usual place of residence </w:t>
            </w:r>
            <w:r>
              <w:rPr>
                <w:rStyle w:val="row-content-rich-text"/>
              </w:rPr>
              <w:t xml:space="preserve">and</w:t>
            </w:r>
            <w:r>
              <w:rPr>
                <w:rStyle w:val="row-content-rich-text"/>
                <w:i/>
              </w:rPr>
              <w:t xml:space="preserve"> </w:t>
            </w:r>
            <w:r>
              <w:rPr>
                <w:rStyle w:val="row-content-rich-text"/>
                <w:i/>
              </w:rPr>
              <w:t xml:space="preserve">Place of residence at 120-day follow-up</w:t>
            </w:r>
            <w:r>
              <w:rPr>
                <w:rStyle w:val="row-content-rich-text"/>
              </w:rPr>
              <w:t xml:space="preserve"> can be used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2009. Preventing falls and harm from falls in older people: best practice guidelines for Australian hospitals. Sydney: ACSQHC. Viewed 5 May 2016,</w:t>
            </w:r>
            <w:r>
              <w:br/>
            </w:r>
            <w:hyperlink w:history="true" r:id="R096e7581d02f442b">
              <w:r>
                <w:rPr>
                  <w:rStyle w:val="Hyperlink"/>
                </w:rPr>
                <w:t xml:space="preserve">www.safetyandquality.gov.au/wp-content/uploads/2012/01/Guidelines-HOSP1.pdf</w:t>
              </w:r>
            </w:hyperlink>
            <w:r>
              <w:rPr>
                <w:rStyle w:val="row-content-rich-text"/>
              </w:rPr>
              <w:t xml:space="preserve">.</w:t>
            </w:r>
          </w:p>
          <w:p>
            <w:pPr/>
            <w:r>
              <w:rPr>
                <w:rStyle w:val="row-content-rich-text"/>
              </w:rPr>
              <w:t xml:space="preserve">ANZHFR (Australian and New Zealand Hip Fracture Registry) Steering Group 2013. Data dictionary. Sydney: ANZHFR. Viewed 5 May 2016,</w:t>
            </w:r>
            <w:r>
              <w:br/>
            </w:r>
            <w:hyperlink w:history="true" r:id="R932dfb168b554e4c">
              <w:r>
                <w:rPr>
                  <w:rStyle w:val="Hyperlink"/>
                </w:rPr>
                <w:t xml:space="preserve">http://www.anzhfr.org/images/resources/Data%20Dictionary/%20v8%</w:t>
              </w:r>
              <w:r>
                <w:br/>
              </w:r>
              <w:r>
                <w:rPr>
                  <w:rStyle w:val="row-content-rich-text"/>
                </w:rPr>
                <w:t xml:space="preserve">20Dec%202013.pdf</w:t>
              </w:r>
            </w:hyperlink>
            <w:r>
              <w:rPr>
                <w:rStyle w:val="row-content-rich-text"/>
              </w:rPr>
              <w:t xml:space="preserve">.</w:t>
            </w:r>
          </w:p>
        </w:tc>
      </w:tr>
    </w:tbl>
    <w:p>
      <w:r>
        <w:br/>
      </w:r>
    </w:p>
    <w:sectPr>
      <w:footerReference xmlns:r="http://schemas.openxmlformats.org/officeDocument/2006/relationships" w:type="default" r:id="R9b400526fcd049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628282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e5f90a05e9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400526fcd049bb" /><Relationship Type="http://schemas.openxmlformats.org/officeDocument/2006/relationships/header" Target="/word/header1.xml" Id="Rcc9eea6531c84be6" /><Relationship Type="http://schemas.openxmlformats.org/officeDocument/2006/relationships/settings" Target="/word/settings.xml" Id="R1f17a14f133d41ee" /><Relationship Type="http://schemas.openxmlformats.org/officeDocument/2006/relationships/styles" Target="/word/styles.xml" Id="Rf7479ccfcf4f4f0f" /><Relationship Type="http://schemas.openxmlformats.org/officeDocument/2006/relationships/hyperlink" Target="https://meteor.aihw.gov.au/RegistrationAuthority/18" TargetMode="External" Id="Rd2c9b31c721547d2" /><Relationship Type="http://schemas.openxmlformats.org/officeDocument/2006/relationships/hyperlink" Target="https://meteor.aihw.gov.au/RegistrationAuthority/12" TargetMode="External" Id="R2aff72fdb799447b" /><Relationship Type="http://schemas.openxmlformats.org/officeDocument/2006/relationships/hyperlink" Target="https://meteor.aihw.gov.au/content/629165" TargetMode="External" Id="R9f288a90c47c4c44" /><Relationship Type="http://schemas.openxmlformats.org/officeDocument/2006/relationships/hyperlink" Target="https://meteor.aihw.gov.au/content/628043" TargetMode="External" Id="R5775b963446b4b74" /><Relationship Type="http://schemas.openxmlformats.org/officeDocument/2006/relationships/hyperlink" Target="https://meteor.aihw.gov.au/RegistrationAuthority/18" TargetMode="External" Id="R871e7eb7e7354632" /><Relationship Type="http://schemas.openxmlformats.org/officeDocument/2006/relationships/hyperlink" Target="https://meteor.aihw.gov.au/RegistrationAuthority/12" TargetMode="External" Id="Rb5ad0c2af5fd4bcf" /><Relationship Type="http://schemas.openxmlformats.org/officeDocument/2006/relationships/hyperlink" Target="https://meteor.aihw.gov.au/content/628060" TargetMode="External" Id="R56fc60d6013d40b2" /><Relationship Type="http://schemas.openxmlformats.org/officeDocument/2006/relationships/hyperlink" Target="https://meteor.aihw.gov.au/RegistrationAuthority/12" TargetMode="External" Id="R4ee2799521b34267" /><Relationship Type="http://schemas.openxmlformats.org/officeDocument/2006/relationships/hyperlink" Target="https://meteor.aihw.gov.au/content/270025" TargetMode="External" Id="Rcf87a4b5d8ae4b9b" /><Relationship Type="http://schemas.openxmlformats.org/officeDocument/2006/relationships/numbering" Target="/word/numbering.xml" Id="R5fe0e22987fd4bdb" /><Relationship Type="http://schemas.openxmlformats.org/officeDocument/2006/relationships/hyperlink" Target="https://meteor.aihw.gov.au/content/270094" TargetMode="External" Id="Re9d3fe6e427a484d" /><Relationship Type="http://schemas.openxmlformats.org/officeDocument/2006/relationships/hyperlink" Target="http://www.safetyandquality.gov.au/wp-content/uploads/2012/01/Guidelines-HOSP1.pdf" TargetMode="External" Id="R096e7581d02f442b" /><Relationship Type="http://schemas.openxmlformats.org/officeDocument/2006/relationships/hyperlink" Target="http://www.anzhfr.org/images/resources/Data%20Dictionary%20v8%20Dec%202013.pdf" TargetMode="External" Id="R932dfb168b554e4c" /></Relationships>
</file>

<file path=word/_rels/header1.xml.rels>&#65279;<?xml version="1.0" encoding="utf-8"?><Relationships xmlns="http://schemas.openxmlformats.org/package/2006/relationships"><Relationship Type="http://schemas.openxmlformats.org/officeDocument/2006/relationships/image" Target="/media/image.png" Id="R5be5f90a05e94c28" /></Relationships>
</file>