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fb50a28c81645ea" /></Relationships>
</file>

<file path=word/document.xml><?xml version="1.0" encoding="utf-8"?>
<w:document xmlns:r="http://schemas.openxmlformats.org/officeDocument/2006/relationships" xmlns:w="http://schemas.openxmlformats.org/wordprocessingml/2006/main">
  <w:body>
    <w:p>
      <w:pPr>
        <w:pStyle w:val="Title"/>
      </w:pPr>
      <w:r>
        <w:t>Hip fracture care clinical care standard indicators: 6b-Proportion of patients with a hip fracture readmitted to hospital with another femoral fracture within 12 months of admission from initial hip fracture</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Hip fracture care clinical care standard indicators: 6b-Proportion of patients with a hip fracture readmitted to hospital with another femoral fracture within 12 months of admission from initial hip fracture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 Indicator 6b-Proportion of patients with a hip fracture readmitted to hospital with another femoral fracture within 12 months of admission from initial hip fracture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628256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f12cb66bdd4afe">
              <w:r>
                <w:rPr>
                  <w:rStyle w:val="Hyperlink"/>
                  <w:color w:val="244061"/>
                </w:rPr>
                <w:t xml:space="preserve">Health</w:t>
              </w:r>
            </w:hyperlink>
            <w:r>
              <w:rPr>
                <w:rStyle w:val="row-content"/>
                <w:color w:val="244061"/>
              </w:rPr>
              <w:t xml:space="preserve">, Standard 12/09/2016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patients admitted to hospital with a </w:t>
            </w:r>
            <w:hyperlink w:tooltip="For the purposes of the Hip fracture care clinical care standard (ACSQHC 2015a), hip fracture is a break occurring at the top of the thigh bone (femur), near the pelvis." w:history="true" r:id="Re67449eadd274803">
              <w:r>
                <w:rPr>
                  <w:rStyle w:val="Hyperlink"/>
                  <w:b/>
                </w:rPr>
                <w:t xml:space="preserve">hip fracture</w:t>
              </w:r>
            </w:hyperlink>
            <w:r>
              <w:rPr>
                <w:rStyle w:val="row-content-rich-text"/>
              </w:rPr>
              <w:t xml:space="preserve"> readmitted with another femoral fracture within 12 months of admission from initial hip fracture.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Re-fractures contribute substantially to the overall mortality associated with a fracture (Bliuc et al.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65721dba5a74a0d">
              <w:r>
                <w:rPr>
                  <w:rStyle w:val="Hyperlink"/>
                </w:rPr>
                <w:t xml:space="preserve">Clinical care standard indicators: hip fracture</w:t>
              </w:r>
            </w:hyperlink>
          </w:p>
          <w:p>
            <w:pPr>
              <w:spacing w:before="0" w:after="0"/>
            </w:pPr>
            <w:r>
              <w:rPr>
                <w:rStyle w:val="row-content"/>
                <w:color w:val="244061"/>
              </w:rPr>
              <w:t xml:space="preserve">       </w:t>
            </w:r>
            <w:hyperlink w:history="true" r:id="R0c9a2c53482041cd">
              <w:r>
                <w:rPr>
                  <w:rStyle w:val="Hyperlink"/>
                  <w:color w:val="244061"/>
                </w:rPr>
                <w:t xml:space="preserve">Australian Commission on Safety and Quality in Health Care</w:t>
              </w:r>
            </w:hyperlink>
            <w:r>
              <w:rPr>
                <w:rStyle w:val="row-content"/>
                <w:color w:val="244061"/>
              </w:rPr>
              <w:t xml:space="preserve">, Superseded 18/06/2018</w:t>
            </w:r>
          </w:p>
          <w:p>
            <w:pPr>
              <w:spacing w:before="0" w:after="0"/>
            </w:pPr>
            <w:r>
              <w:rPr>
                <w:rStyle w:val="row-content"/>
                <w:color w:val="244061"/>
              </w:rPr>
              <w:t xml:space="preserve">       </w:t>
            </w:r>
            <w:hyperlink w:history="true" r:id="R0166efeed8d34441">
              <w:r>
                <w:rPr>
                  <w:rStyle w:val="Hyperlink"/>
                  <w:color w:val="244061"/>
                </w:rPr>
                <w:t xml:space="preserve">Health</w:t>
              </w:r>
            </w:hyperlink>
            <w:r>
              <w:rPr>
                <w:rStyle w:val="row-content"/>
                <w:color w:val="244061"/>
              </w:rPr>
              <w:t xml:space="preserve">, Standard 12/09/2016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af1f5ca089a2407d">
              <w:r>
                <w:rPr>
                  <w:rStyle w:val="Hyperlink"/>
                </w:rPr>
                <w:t xml:space="preserve">Minimising risk of another fracture</w:t>
              </w:r>
            </w:hyperlink>
          </w:p>
          <w:p>
            <w:pPr>
              <w:spacing w:before="0" w:after="0"/>
            </w:pPr>
            <w:r>
              <w:rPr>
                <w:rStyle w:val="row-content"/>
                <w:color w:val="244061"/>
              </w:rPr>
              <w:t xml:space="preserve">       </w:t>
            </w:r>
            <w:hyperlink w:history="true" r:id="Rbcb180822c9f4ac6">
              <w:r>
                <w:rPr>
                  <w:rStyle w:val="Hyperlink"/>
                  <w:color w:val="244061"/>
                </w:rPr>
                <w:t xml:space="preserve">Health</w:t>
              </w:r>
            </w:hyperlink>
            <w:r>
              <w:rPr>
                <w:rStyle w:val="row-content"/>
                <w:color w:val="244061"/>
              </w:rPr>
              <w:t xml:space="preserve">, Standard 12/09/2016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numerator includes patients with a hip fracture readmitted to hospital with another femoral fracture within 12 months of admission to hospital from the initial hip fracture. Femoral fracture is where </w:t>
            </w:r>
            <w:hyperlink w:history="true" r:id="Rbbd5301debe44d9c">
              <w:r>
                <w:rPr>
                  <w:rStyle w:val="Hyperlink"/>
                </w:rPr>
                <w:t xml:space="preserve">Episode of care—principal diagnosis, code (ICD-10-AM 9th edn) ANN{.N[N]}</w:t>
              </w:r>
            </w:hyperlink>
            <w:r>
              <w:rPr>
                <w:rStyle w:val="row-content-rich-text"/>
              </w:rPr>
              <w:t xml:space="preserve"> or </w:t>
            </w:r>
            <w:hyperlink w:history="true" r:id="R1b4c8a79241445e8">
              <w:r>
                <w:rPr>
                  <w:rStyle w:val="Hyperlink"/>
                </w:rPr>
                <w:t xml:space="preserve">Episode of care—additional diagnosis, code (ICD-10-AM 9th edn) ANN{.N[N]}</w:t>
              </w:r>
            </w:hyperlink>
            <w:r>
              <w:rPr>
                <w:rStyle w:val="row-content-rich-text"/>
              </w:rPr>
              <w:t xml:space="preserve"> is one of the following:</w:t>
            </w:r>
          </w:p>
          <w:p>
            <w:pPr>
              <w:pStyle w:val="ListParagraph"/>
              <w:numPr>
                <w:ilvl w:val="0"/>
                <w:numId w:val="2"/>
              </w:numPr>
            </w:pPr>
            <w:r>
              <w:rPr>
                <w:rStyle w:val="row-content-rich-text"/>
              </w:rPr>
              <w:t xml:space="preserve">S72.00 Fracture of neck of femur, part unspecified</w:t>
            </w:r>
          </w:p>
          <w:p>
            <w:pPr>
              <w:pStyle w:val="ListParagraph"/>
              <w:numPr>
                <w:ilvl w:val="0"/>
                <w:numId w:val="2"/>
              </w:numPr>
            </w:pPr>
            <w:r>
              <w:rPr>
                <w:rStyle w:val="row-content-rich-text"/>
              </w:rPr>
              <w:t xml:space="preserve">S72.01 Fracture of intracapsular section of femur</w:t>
            </w:r>
          </w:p>
          <w:p>
            <w:pPr>
              <w:pStyle w:val="ListParagraph"/>
              <w:numPr>
                <w:ilvl w:val="0"/>
                <w:numId w:val="2"/>
              </w:numPr>
            </w:pPr>
            <w:r>
              <w:rPr>
                <w:rStyle w:val="row-content-rich-text"/>
              </w:rPr>
              <w:t xml:space="preserve">S72.02 Fracture of upper epiphysis (separation) of femur</w:t>
            </w:r>
          </w:p>
          <w:p>
            <w:pPr>
              <w:pStyle w:val="ListParagraph"/>
              <w:numPr>
                <w:ilvl w:val="0"/>
                <w:numId w:val="2"/>
              </w:numPr>
            </w:pPr>
            <w:r>
              <w:rPr>
                <w:rStyle w:val="row-content-rich-text"/>
              </w:rPr>
              <w:t xml:space="preserve">S72.03 Fracture of subcapital section of femur</w:t>
            </w:r>
          </w:p>
          <w:p>
            <w:pPr>
              <w:pStyle w:val="ListParagraph"/>
              <w:numPr>
                <w:ilvl w:val="0"/>
                <w:numId w:val="2"/>
              </w:numPr>
            </w:pPr>
            <w:r>
              <w:rPr>
                <w:rStyle w:val="row-content-rich-text"/>
              </w:rPr>
              <w:t xml:space="preserve">S72.04 Fracture of midcervical section of femur (includes transcervical not otherwise specified)</w:t>
            </w:r>
          </w:p>
          <w:p>
            <w:pPr>
              <w:pStyle w:val="ListParagraph"/>
              <w:numPr>
                <w:ilvl w:val="0"/>
                <w:numId w:val="2"/>
              </w:numPr>
            </w:pPr>
            <w:r>
              <w:rPr>
                <w:rStyle w:val="row-content-rich-text"/>
              </w:rPr>
              <w:t xml:space="preserve">S72.05 Fracture of base of neck of femur (includes cervicotrochanteric section)</w:t>
            </w:r>
          </w:p>
          <w:p>
            <w:pPr>
              <w:pStyle w:val="ListParagraph"/>
              <w:numPr>
                <w:ilvl w:val="0"/>
                <w:numId w:val="2"/>
              </w:numPr>
            </w:pPr>
            <w:r>
              <w:rPr>
                <w:rStyle w:val="row-content-rich-text"/>
              </w:rPr>
              <w:t xml:space="preserve">S72.08 Fracture of other parts of neck of femur (includes fracture of hip not otherwise specified, and head of femur)</w:t>
            </w:r>
          </w:p>
          <w:p>
            <w:pPr>
              <w:pStyle w:val="ListParagraph"/>
              <w:numPr>
                <w:ilvl w:val="0"/>
                <w:numId w:val="2"/>
              </w:numPr>
            </w:pPr>
            <w:r>
              <w:rPr>
                <w:rStyle w:val="row-content-rich-text"/>
              </w:rPr>
              <w:t xml:space="preserve">S72.10 Fracture of trochanteric section of femur, unspecified</w:t>
            </w:r>
          </w:p>
          <w:p>
            <w:pPr>
              <w:pStyle w:val="ListParagraph"/>
              <w:numPr>
                <w:ilvl w:val="0"/>
                <w:numId w:val="2"/>
              </w:numPr>
            </w:pPr>
            <w:r>
              <w:rPr>
                <w:rStyle w:val="row-content-rich-text"/>
              </w:rPr>
              <w:t xml:space="preserve">S72.11 Fracture of intertrochanteric section of femur</w:t>
            </w:r>
          </w:p>
          <w:p>
            <w:pPr>
              <w:pStyle w:val="ListParagraph"/>
              <w:numPr>
                <w:ilvl w:val="0"/>
                <w:numId w:val="2"/>
              </w:numPr>
            </w:pPr>
            <w:r>
              <w:rPr>
                <w:rStyle w:val="row-content-rich-text"/>
              </w:rPr>
              <w:t xml:space="preserve">S72.2 Subtrochanteric fracture</w:t>
            </w:r>
          </w:p>
          <w:p>
            <w:pPr>
              <w:pStyle w:val="ListParagraph"/>
              <w:numPr>
                <w:ilvl w:val="0"/>
                <w:numId w:val="2"/>
              </w:numPr>
            </w:pPr>
            <w:r>
              <w:rPr>
                <w:rStyle w:val="row-content-rich-text"/>
              </w:rPr>
              <w:t xml:space="preserve">S72.3 Fracture of shaft of femur</w:t>
            </w:r>
          </w:p>
          <w:p>
            <w:pPr>
              <w:pStyle w:val="ListParagraph"/>
              <w:numPr>
                <w:ilvl w:val="0"/>
                <w:numId w:val="2"/>
              </w:numPr>
            </w:pPr>
            <w:r>
              <w:rPr>
                <w:rStyle w:val="row-content-rich-text"/>
              </w:rPr>
              <w:t xml:space="preserve">S72.40 Fracture of lower end of femur, part unspecified</w:t>
            </w:r>
          </w:p>
          <w:p>
            <w:pPr>
              <w:pStyle w:val="ListParagraph"/>
              <w:numPr>
                <w:ilvl w:val="0"/>
                <w:numId w:val="2"/>
              </w:numPr>
            </w:pPr>
            <w:r>
              <w:rPr>
                <w:rStyle w:val="row-content-rich-text"/>
              </w:rPr>
              <w:t xml:space="preserve">S72.41 Fracture of femoral condyle</w:t>
            </w:r>
          </w:p>
          <w:p>
            <w:pPr>
              <w:pStyle w:val="ListParagraph"/>
              <w:numPr>
                <w:ilvl w:val="0"/>
                <w:numId w:val="2"/>
              </w:numPr>
            </w:pPr>
            <w:r>
              <w:rPr>
                <w:rStyle w:val="row-content-rich-text"/>
              </w:rPr>
              <w:t xml:space="preserve">S72.42 Fracture of lower epiphysis (separation) of femur</w:t>
            </w:r>
          </w:p>
          <w:p>
            <w:pPr>
              <w:pStyle w:val="ListParagraph"/>
              <w:numPr>
                <w:ilvl w:val="0"/>
                <w:numId w:val="2"/>
              </w:numPr>
            </w:pPr>
            <w:r>
              <w:rPr>
                <w:rStyle w:val="row-content-rich-text"/>
              </w:rPr>
              <w:t xml:space="preserve">S72.43 Supracondylar fracture of femur</w:t>
            </w:r>
          </w:p>
          <w:p>
            <w:pPr>
              <w:pStyle w:val="ListParagraph"/>
              <w:numPr>
                <w:ilvl w:val="0"/>
                <w:numId w:val="2"/>
              </w:numPr>
            </w:pPr>
            <w:r>
              <w:rPr>
                <w:rStyle w:val="row-content-rich-text"/>
              </w:rPr>
              <w:t xml:space="preserve">S72.44 Intercondylar fracture of femur (T-shape fracture of femur)</w:t>
            </w:r>
          </w:p>
          <w:p>
            <w:pPr>
              <w:pStyle w:val="ListParagraph"/>
              <w:numPr>
                <w:ilvl w:val="0"/>
                <w:numId w:val="2"/>
              </w:numPr>
            </w:pPr>
            <w:r>
              <w:rPr>
                <w:rStyle w:val="row-content-rich-text"/>
              </w:rPr>
              <w:t xml:space="preserve">S72.7 Multiple fractures of femur</w:t>
            </w:r>
          </w:p>
          <w:p>
            <w:pPr>
              <w:pStyle w:val="ListParagraph"/>
              <w:numPr>
                <w:ilvl w:val="0"/>
                <w:numId w:val="2"/>
              </w:numPr>
            </w:pPr>
            <w:r>
              <w:rPr>
                <w:rStyle w:val="row-content-rich-text"/>
              </w:rPr>
              <w:t xml:space="preserve">S72.8 Fractures of other parts of femur</w:t>
            </w:r>
          </w:p>
          <w:p>
            <w:pPr>
              <w:pStyle w:val="ListParagraph"/>
              <w:numPr>
                <w:ilvl w:val="0"/>
                <w:numId w:val="2"/>
              </w:numPr>
            </w:pPr>
            <w:r>
              <w:rPr>
                <w:rStyle w:val="row-content-rich-text"/>
              </w:rPr>
              <w:t xml:space="preserve">S72.9 Fracture of femur, part unspecified.</w:t>
            </w:r>
          </w:p>
          <w:p>
            <w:pPr>
              <w:spacing w:after="160"/>
            </w:pPr>
            <w:r>
              <w:rPr>
                <w:rStyle w:val="row-content-rich-text"/>
              </w:rPr>
              <w:t xml:space="preserve">Readmission may be to the hospital at which the patient had surgery for their hip fracture, or to another hospital. This relies on linked data and/or the use of a unique identifier preferably across a geographic region at which patients are likely to be readmitted (for example, a </w:t>
            </w: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378a775e6b4a49ef">
              <w:r>
                <w:rPr>
                  <w:rStyle w:val="Hyperlink"/>
                  <w:b/>
                </w:rPr>
                <w:t xml:space="preserve">Local Hospital Network</w:t>
              </w:r>
            </w:hyperlink>
            <w:r>
              <w:rPr>
                <w:rStyle w:val="row-content-rich-text"/>
              </w:rPr>
              <w:t xml:space="preserve">).</w:t>
            </w:r>
          </w:p>
          <w:p>
            <w:pPr>
              <w:spacing w:after="160"/>
            </w:pPr>
            <w:r>
              <w:rPr>
                <w:rStyle w:val="row-content-rich-text"/>
              </w:rPr>
              <w:t xml:space="preserve">The 12 months is calculated from the </w:t>
            </w:r>
            <w:hyperlink w:history="true" r:id="R3c18807e97624f41">
              <w:r>
                <w:rPr>
                  <w:rStyle w:val="Hyperlink"/>
                </w:rPr>
                <w:t xml:space="preserve">Episode of admitted patient care—admission date, DDMMYYYY</w:t>
              </w:r>
            </w:hyperlink>
            <w:r>
              <w:rPr>
                <w:rStyle w:val="row-content-rich-text"/>
              </w:rPr>
              <w:t xml:space="preserve">, from the initial episode for the definitive treatment of the hip fracture. Exclude patients where </w:t>
            </w:r>
            <w:hyperlink w:history="true" r:id="R84e5f8d745f44e0b">
              <w:r>
                <w:rPr>
                  <w:rStyle w:val="Hyperlink"/>
                </w:rPr>
                <w:t xml:space="preserve">Episode of admitted patient care—separation mode, code N</w:t>
              </w:r>
            </w:hyperlink>
            <w:r>
              <w:rPr>
                <w:rStyle w:val="row-content-rich-text"/>
              </w:rPr>
              <w:t xml:space="preserve">=8 Died.</w:t>
            </w:r>
          </w:p>
          <w:p>
            <w:pPr>
              <w:spacing w:after="160"/>
            </w:pPr>
            <w:r>
              <w:rPr>
                <w:rStyle w:val="row-content-rich-text"/>
              </w:rPr>
              <w:t xml:space="preserve">The denominator should include a count for a period that is at least 12 months prior to the period for which readmissions are being counted.</w:t>
            </w:r>
          </w:p>
          <w:p>
            <w:pPr>
              <w:spacing w:after="160"/>
            </w:pPr>
            <w:r>
              <w:rPr>
                <w:rStyle w:val="row-content-rich-text"/>
              </w:rPr>
              <w:t xml:space="preserve">Both the numerator and the denominator only include episodes whereby </w:t>
            </w:r>
            <w:hyperlink w:history="true" r:id="Rb0a98c4a60f74e17">
              <w:r>
                <w:rPr>
                  <w:rStyle w:val="Hyperlink"/>
                </w:rPr>
                <w:t xml:space="preserve">Hospital service—care type, code N[N]</w:t>
              </w:r>
            </w:hyperlink>
            <w:r>
              <w:rPr>
                <w:rStyle w:val="row-content-rich-text"/>
              </w:rPr>
              <w:t xml:space="preserve"> = 1 Acute care.</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hospital patients with a hip fracture readmitted to hospital with another femoral fracture within 12 months of admission from initial hip fracture.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hospital patients with a hip fracture admitted to hospital in a period that is at least 12 months prior to the period for which readmissions are being counted.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Bliuc D, Nguyen ND, Nguyen TV, Eisman JA &amp; Center JR 2013. Compound risk of high mortality following osteoporotic fracture and refracture in elderly women and men. Journal of Bone and Mineral research: The Official Journal of the American Society for Bone and Mineral Research 28(11):2317-24.</w:t>
            </w:r>
          </w:p>
        </w:tc>
      </w:tr>
    </w:tbl>
    <w:p>
      <w:r>
        <w:br/>
      </w:r>
    </w:p>
    <w:sectPr>
      <w:footerReference xmlns:r="http://schemas.openxmlformats.org/officeDocument/2006/relationships" w:type="default" r:id="Rd2dda33625e0446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628256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c57ddf2978742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2dda33625e04469" /><Relationship Type="http://schemas.openxmlformats.org/officeDocument/2006/relationships/header" Target="/word/header1.xml" Id="R9409ef5974b74fe0" /><Relationship Type="http://schemas.openxmlformats.org/officeDocument/2006/relationships/settings" Target="/word/settings.xml" Id="R3f320c8ec3324f2c" /><Relationship Type="http://schemas.openxmlformats.org/officeDocument/2006/relationships/styles" Target="/word/styles.xml" Id="Rf509c469ad864c5b" /><Relationship Type="http://schemas.openxmlformats.org/officeDocument/2006/relationships/hyperlink" Target="https://meteor.aihw.gov.au/RegistrationAuthority/12" TargetMode="External" Id="Rd4f12cb66bdd4afe" /><Relationship Type="http://schemas.openxmlformats.org/officeDocument/2006/relationships/hyperlink" Target="https://meteor.aihw.gov.au/content/629165" TargetMode="External" Id="Re67449eadd274803" /><Relationship Type="http://schemas.openxmlformats.org/officeDocument/2006/relationships/hyperlink" Target="https://meteor.aihw.gov.au/content/628043" TargetMode="External" Id="R065721dba5a74a0d" /><Relationship Type="http://schemas.openxmlformats.org/officeDocument/2006/relationships/hyperlink" Target="https://meteor.aihw.gov.au/RegistrationAuthority/18" TargetMode="External" Id="R0c9a2c53482041cd" /><Relationship Type="http://schemas.openxmlformats.org/officeDocument/2006/relationships/hyperlink" Target="https://meteor.aihw.gov.au/RegistrationAuthority/12" TargetMode="External" Id="R0166efeed8d34441" /><Relationship Type="http://schemas.openxmlformats.org/officeDocument/2006/relationships/hyperlink" Target="https://meteor.aihw.gov.au/content/628058" TargetMode="External" Id="Raf1f5ca089a2407d" /><Relationship Type="http://schemas.openxmlformats.org/officeDocument/2006/relationships/hyperlink" Target="https://meteor.aihw.gov.au/RegistrationAuthority/12" TargetMode="External" Id="Rbcb180822c9f4ac6" /><Relationship Type="http://schemas.openxmlformats.org/officeDocument/2006/relationships/hyperlink" Target="https://meteor.aihw.gov.au/content/588987" TargetMode="External" Id="Rbbd5301debe44d9c" /><Relationship Type="http://schemas.openxmlformats.org/officeDocument/2006/relationships/hyperlink" Target="https://meteor.aihw.gov.au/content/588981" TargetMode="External" Id="R1b4c8a79241445e8" /><Relationship Type="http://schemas.openxmlformats.org/officeDocument/2006/relationships/numbering" Target="/word/numbering.xml" Id="R93750c6a652e451c" /><Relationship Type="http://schemas.openxmlformats.org/officeDocument/2006/relationships/hyperlink" Target="https://meteor.aihw.gov.au/content/491016" TargetMode="External" Id="R378a775e6b4a49ef" /><Relationship Type="http://schemas.openxmlformats.org/officeDocument/2006/relationships/hyperlink" Target="https://meteor.aihw.gov.au/content/269967" TargetMode="External" Id="R3c18807e97624f41" /><Relationship Type="http://schemas.openxmlformats.org/officeDocument/2006/relationships/hyperlink" Target="https://meteor.aihw.gov.au/content/270094" TargetMode="External" Id="R84e5f8d745f44e0b" /><Relationship Type="http://schemas.openxmlformats.org/officeDocument/2006/relationships/hyperlink" Target="https://meteor.aihw.gov.au/content/584408" TargetMode="External" Id="Rb0a98c4a60f74e17" /></Relationships>
</file>

<file path=word/_rels/header1.xml.rels>&#65279;<?xml version="1.0" encoding="utf-8"?><Relationships xmlns="http://schemas.openxmlformats.org/package/2006/relationships"><Relationship Type="http://schemas.openxmlformats.org/officeDocument/2006/relationships/image" Target="/media/image.png" Id="R7c57ddf29787428b" /></Relationships>
</file>