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17eb75155463d"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2014-15;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44d6722ff4210">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(4) jurisdictions – New South Wales, Queensland, South Australia and Tasmania – provide a range of State Owned and Managed Indigenous Housing (SOMIH) programs and maintain administrative data sets about these programs. These data sets are provided annually to the AIHW.</w:t>
            </w:r>
          </w:p>
          <w:p>
            <w:pPr>
              <w:spacing w:after="160"/>
            </w:pPr>
            <w:r>
              <w:rPr>
                <w:rStyle w:val="row-content-rich-text"/>
              </w:rPr>
              <w:t xml:space="preserve">The data in this collection contain information about SOMIH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including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f002a1d9dd84dc9">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545a84ca63534c0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77370076b034f0d">
              <w:r>
                <w:rPr>
                  <w:rStyle w:val="Hyperlink"/>
                  <w:i/>
                </w:rPr>
                <w:t xml:space="preserve">Australian Institute of Health and Welfare Act 1987</w:t>
              </w:r>
            </w:hyperlink>
            <w:r>
              <w:rPr>
                <w:rStyle w:val="row-content-rich-text"/>
              </w:rPr>
              <w:t xml:space="preserve">, in conjunction with compliance to the </w:t>
            </w:r>
            <w:hyperlink w:history="true" r:id="R970be83c96954bf6">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96b6037ed14f0e">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9e9757e210eb4818">
              <w:r>
                <w:rPr>
                  <w:rStyle w:val="Hyperlink"/>
                  <w:i/>
                </w:rPr>
                <w:t xml:space="preserve">Housing Assistance in Australia 2016</w:t>
              </w:r>
            </w:hyperlink>
            <w:r>
              <w:rPr>
                <w:rStyle w:val="row-content-rich-text"/>
              </w:rPr>
              <w:t xml:space="preserve">, which is available publicly on the AIHW website and the </w:t>
            </w:r>
            <w:hyperlink w:history="true" r:id="R4c3c83a223c14062">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e5ecab69743b44bb">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68e6b61fb8c34bf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a06cb98bc8334b73">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four jurisdictions – NSW, QLD, SA and TAS.</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 </w:t>
            </w:r>
            <w:r>
              <w:rPr>
                <w:rStyle w:val="row-content-rich-text"/>
              </w:rPr>
              <w:t xml:space="preserve">and </w:t>
            </w:r>
            <w:r>
              <w:rPr>
                <w:rStyle w:val="row-content-rich-text"/>
                <w:i/>
              </w:rPr>
              <w:t xml:space="preserve">vacancy reason </w:t>
            </w:r>
            <w:r>
              <w:rPr>
                <w:rStyle w:val="row-content-rich-text"/>
              </w:rPr>
              <w:t xml:space="preserve">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Community Housing Organisations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Queensland</w:t>
            </w:r>
          </w:p>
          <w:p>
            <w:pPr>
              <w:pStyle w:val="ListParagraph"/>
              <w:numPr>
                <w:ilvl w:val="0"/>
                <w:numId w:val="4"/>
              </w:numPr>
            </w:pPr>
            <w:r>
              <w:rPr>
                <w:rStyle w:val="row-content-rich-text"/>
              </w:rPr>
              <w:t xml:space="preserve">Individual Indigenous status of SOMIH tenants is not collected. SOMIH households are assumed to be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5"/>
              </w:numPr>
            </w:pPr>
            <w:r>
              <w:rPr>
                <w:rStyle w:val="row-content-rich-text"/>
              </w:rPr>
              <w:t xml:space="preserve">Income measures cannot be directly compared with income figures produced prior to 2009-10 due to a change in methodology. Low income cut-offs were revised for 2014-15 data, based on the ABS Survey of Income and Housing results. This led to substantial increases in the number of households considered to be receiving a low income. Care is therefore required when comparing 2014-15 data with previous years.</w:t>
            </w:r>
          </w:p>
          <w:p>
            <w:pPr>
              <w:pStyle w:val="ListParagraph"/>
              <w:numPr>
                <w:ilvl w:val="0"/>
                <w:numId w:val="5"/>
              </w:numPr>
            </w:pPr>
            <w:r>
              <w:rPr>
                <w:rStyle w:val="row-content-rich-text"/>
              </w:rPr>
              <w:t xml:space="preserve">Measurements of overcrowding cannot be directly compared with figures produced prior to 2009-10 due to a change in methodology.</w:t>
            </w:r>
          </w:p>
          <w:p>
            <w:pPr>
              <w:pStyle w:val="ListParagraph"/>
              <w:numPr>
                <w:ilvl w:val="0"/>
                <w:numId w:val="5"/>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fbdca0cb04bf8">
              <w:r>
                <w:rPr>
                  <w:rStyle w:val="Hyperlink"/>
                </w:rPr>
                <w:t xml:space="preserve">State Owned and Managed Indigenous Housing data collection, 2013-14; Quality Statement</w:t>
              </w:r>
            </w:hyperlink>
          </w:p>
          <w:p>
            <w:pPr>
              <w:spacing w:before="0" w:after="0"/>
            </w:pPr>
            <w:r>
              <w:rPr>
                <w:rStyle w:val="row-content"/>
                <w:color w:val="244061"/>
              </w:rPr>
              <w:t xml:space="preserve">       </w:t>
            </w:r>
            <w:hyperlink w:history="true" r:id="Rce993b8f219c42d1">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4a689210bcc64a29">
              <w:r>
                <w:rPr>
                  <w:rStyle w:val="Hyperlink"/>
                </w:rPr>
                <w:t xml:space="preserve">State Owned and Managed Indigenous Housing Data Collection, 2015–16; Quality Statement</w:t>
              </w:r>
            </w:hyperlink>
          </w:p>
          <w:p>
            <w:pPr>
              <w:spacing w:before="0" w:after="0"/>
            </w:pPr>
            <w:r>
              <w:rPr>
                <w:rStyle w:val="row-content"/>
                <w:color w:val="244061"/>
              </w:rPr>
              <w:t xml:space="preserve">       </w:t>
            </w:r>
            <w:hyperlink w:history="true" r:id="R96074486f15e4ccc">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8072c928128c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bda3d4a89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2c928128c4d7e" /><Relationship Type="http://schemas.openxmlformats.org/officeDocument/2006/relationships/header" Target="/word/header1.xml" Id="Rae6bc5e5ec0e439d" /><Relationship Type="http://schemas.openxmlformats.org/officeDocument/2006/relationships/settings" Target="/word/settings.xml" Id="R47ad45e75c6b49fe" /><Relationship Type="http://schemas.openxmlformats.org/officeDocument/2006/relationships/styles" Target="/word/styles.xml" Id="R418bb9dc9fca4e49" /><Relationship Type="http://schemas.openxmlformats.org/officeDocument/2006/relationships/hyperlink" Target="https://meteor.aihw.gov.au/RegistrationAuthority/5" TargetMode="External" Id="R06644d6722ff4210" /><Relationship Type="http://schemas.openxmlformats.org/officeDocument/2006/relationships/numbering" Target="/word/numbering.xml" Id="Rf223eef040e84a3a" /><Relationship Type="http://schemas.openxmlformats.org/officeDocument/2006/relationships/hyperlink" Target="https://www.legislation.gov.au/Series/C2004A03450" TargetMode="External" Id="Rff002a1d9dd84dc9" /><Relationship Type="http://schemas.openxmlformats.org/officeDocument/2006/relationships/hyperlink" Target="http://www.aihw.gov.au/aihw-board/" TargetMode="External" Id="R545a84ca63534c03" /><Relationship Type="http://schemas.openxmlformats.org/officeDocument/2006/relationships/hyperlink" Target="https://www.legislation.gov.au/Series/C2004A03450" TargetMode="External" Id="R477370076b034f0d" /><Relationship Type="http://schemas.openxmlformats.org/officeDocument/2006/relationships/hyperlink" Target="https://www.legislation.gov.au/Details/C2011C00503" TargetMode="External" Id="R970be83c96954bf6" /><Relationship Type="http://schemas.openxmlformats.org/officeDocument/2006/relationships/hyperlink" Target="http://www.aihw.gov.au/" TargetMode="External" Id="Re296b6037ed14f0e" /><Relationship Type="http://schemas.openxmlformats.org/officeDocument/2006/relationships/hyperlink" Target="http://www.aihw.gov.au/housing-assistance/" TargetMode="External" Id="R9e9757e210eb4818" /><Relationship Type="http://schemas.openxmlformats.org/officeDocument/2006/relationships/hyperlink" Target="http://www.pc.gov.au/research/ongoing/report-on-government-services/2016" TargetMode="External" Id="R4c3c83a223c14062" /><Relationship Type="http://schemas.openxmlformats.org/officeDocument/2006/relationships/hyperlink" Target="https://datarequest.aihw.gov.au/_layouts/AdHocDataRequest/LodgeRequest.aspx/" TargetMode="External" Id="Re5ecab69743b44bb" /><Relationship Type="http://schemas.openxmlformats.org/officeDocument/2006/relationships/hyperlink" Target="mailto:info@aihw.gov.au" TargetMode="External" Id="R68e6b61fb8c34bfd" /><Relationship Type="http://schemas.openxmlformats.org/officeDocument/2006/relationships/hyperlink" Target="http://www.aihw.gov.au/publication-detail/?id=60129543695" TargetMode="External" Id="Ra06cb98bc8334b73" /><Relationship Type="http://schemas.openxmlformats.org/officeDocument/2006/relationships/hyperlink" Target="https://meteor.aihw.gov.au/content/600439" TargetMode="External" Id="R2f2fbdca0cb04bf8" /><Relationship Type="http://schemas.openxmlformats.org/officeDocument/2006/relationships/hyperlink" Target="https://meteor.aihw.gov.au/RegistrationAuthority/5" TargetMode="External" Id="Rce993b8f219c42d1" /><Relationship Type="http://schemas.openxmlformats.org/officeDocument/2006/relationships/hyperlink" Target="https://meteor.aihw.gov.au/content/656269" TargetMode="External" Id="R4a689210bcc64a29" /><Relationship Type="http://schemas.openxmlformats.org/officeDocument/2006/relationships/hyperlink" Target="https://meteor.aihw.gov.au/RegistrationAuthority/5" TargetMode="External" Id="R96074486f15e4ccc" /></Relationships>
</file>

<file path=word/_rels/header1.xml.rels>&#65279;<?xml version="1.0" encoding="utf-8"?><Relationships xmlns="http://schemas.openxmlformats.org/package/2006/relationships"><Relationship Type="http://schemas.openxmlformats.org/officeDocument/2006/relationships/image" Target="/media/image.png" Id="R90fbda3d4a894d45" /></Relationships>
</file>