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f195fefc614b82"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Data Collection, 2014-15;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Data Collection, 2014-15;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f4f28a9efa4d53">
              <w:r>
                <w:rPr>
                  <w:rStyle w:val="Hyperlink"/>
                  <w:color w:val="244061"/>
                </w:rPr>
                <w:t xml:space="preserve">AIHW Data Quality Statements</w:t>
              </w:r>
            </w:hyperlink>
            <w:r>
              <w:rPr>
                <w:rStyle w:val="row-content"/>
                <w:color w:val="244061"/>
              </w:rPr>
              <w:t xml:space="preserve">, Superseded 06/01/2017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Four (4) jurisdictions – New South Wales, Queensland, South Australia and Tasmania – provide a range of State Owned and Managed Indigenous Housing (SOMIH) programs and maintain administrative data sets about these programs. These data sets are provided annually to the AIHW.</w:t>
            </w:r>
          </w:p>
          <w:p>
            <w:pPr>
              <w:spacing w:after="160"/>
            </w:pPr>
            <w:r>
              <w:rPr>
                <w:rStyle w:val="row-content-rich-text"/>
              </w:rPr>
              <w:t xml:space="preserve">The data in this collection contain information about SOMIH dwellings, households assisted and households on the waiting list for the following two reference periods: 2014-15 financial year and point in time at 30 June 2015.</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SOMIH programs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jurisdictions. Differences in the data collected, including which records are included or excluded from a calculation can affect the coherence of the outputs. Coherence over time has been affected by changes in methodology.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7037b2c0d1d04241">
              <w:r>
                <w:rPr>
                  <w:rStyle w:val="Hyperlink"/>
                  <w:i/>
                </w:rPr>
                <w:t xml:space="preserve">Australian Institute of Health and Welfare Act 1987</w:t>
              </w:r>
            </w:hyperlink>
            <w:r>
              <w:rPr>
                <w:rStyle w:val="row-content-rich-text"/>
              </w:rPr>
              <w:t xml:space="preserve">to provide reliable, regular and relevant information and statistics on Australia's health and welfare. It is an independent corporate Commonwealth entity established in 1987, governed by a </w:t>
            </w:r>
            <w:hyperlink w:history="true" r:id="Rbc05ef7ed55d49f5">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e1240d969def476e">
              <w:r>
                <w:rPr>
                  <w:rStyle w:val="Hyperlink"/>
                  <w:i/>
                </w:rPr>
                <w:t xml:space="preserve">Australian Institute of Health and Welfare Act 1987</w:t>
              </w:r>
            </w:hyperlink>
            <w:r>
              <w:rPr>
                <w:rStyle w:val="row-content-rich-text"/>
              </w:rPr>
              <w:t xml:space="preserve">, in conjunction with compliance to the </w:t>
            </w:r>
            <w:hyperlink w:history="true" r:id="R79abe7ac4c9b44b0">
              <w:r>
                <w:rPr>
                  <w:rStyle w:val="Hyperlink"/>
                  <w:i/>
                </w:rPr>
                <w:t xml:space="preserve">Privacy Act 1988</w:t>
              </w:r>
            </w:hyperlink>
            <w:r>
              <w:rPr>
                <w:rStyle w:val="row-content-rich-text"/>
              </w:rPr>
              <w:t xml:space="preserve"> (Commonwealth of Australia),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4acf44e0b9cf4beb">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jurisdictions. The finalised data sets are signed off by the jurisdictions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SOMIH collection is based on the financial year (ending 30 June). The specific reference period for these data is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are reported in </w:t>
            </w:r>
            <w:hyperlink w:history="true" r:id="R04588d0f5dcc4f0e">
              <w:r>
                <w:rPr>
                  <w:rStyle w:val="Hyperlink"/>
                  <w:i/>
                </w:rPr>
                <w:t xml:space="preserve">Housing Assistance in Australia 2016</w:t>
              </w:r>
            </w:hyperlink>
            <w:r>
              <w:rPr>
                <w:rStyle w:val="row-content-rich-text"/>
              </w:rPr>
              <w:t xml:space="preserve">, which is available publicly on the AIHW website and the </w:t>
            </w:r>
            <w:hyperlink w:history="true" r:id="R49f8a50953094f28">
              <w:r>
                <w:rPr>
                  <w:rStyle w:val="Hyperlink"/>
                  <w:i/>
                </w:rPr>
                <w:t xml:space="preserve">Report on Government Services 2016</w:t>
              </w:r>
            </w:hyperlink>
            <w:r>
              <w:rPr>
                <w:rStyle w:val="row-content-rich-text"/>
              </w:rPr>
              <w:t xml:space="preserve">.</w:t>
            </w:r>
          </w:p>
          <w:p>
            <w:pPr/>
            <w:r>
              <w:rPr>
                <w:rStyle w:val="row-content-rich-text"/>
              </w:rPr>
              <w:t xml:space="preserve">Users can request additional disaggregation of data which are not available online or in reports (subject to jurisdiction approval) via the AIHW’s online data request system at </w:t>
            </w:r>
            <w:hyperlink w:history="true" r:id="R9de06ded6705461c">
              <w:r>
                <w:rPr>
                  <w:rStyle w:val="Hyperlink"/>
                </w:rPr>
                <w:t xml:space="preserve">https://datarequest.aihw.gov.au/_layouts/AdHocDataRequest/LodgeRequest.aspx/</w:t>
              </w:r>
            </w:hyperlink>
            <w:r>
              <w:rPr>
                <w:rStyle w:val="row-content-rich-text"/>
              </w:rPr>
              <w:t xml:space="preserve">. Requests that take longer than half an hour to compile are charged for on a cost-recovery basis. General enquiries about AIHW publications can be made to the Digital and Media Communications Unit on (02) 6244 1026 or via email to </w:t>
            </w:r>
            <w:hyperlink w:history="true" r:id="R24965b9762f9425f">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National Housing and Homelessness Data Dictionary (AIHW Cat no. HOU269) </w:t>
            </w:r>
            <w:hyperlink w:history="true" r:id="Ra0ef68b20e6e4941">
              <w:r>
                <w:rPr>
                  <w:rStyle w:val="Hyperlink"/>
                </w:rPr>
                <w:t xml:space="preserve">http://www.aihw.gov.au/publication-detail/?id=60129543695</w:t>
              </w:r>
            </w:hyperlink>
            <w:r>
              <w:rPr>
                <w:rStyle w:val="row-content-rich-text"/>
              </w:rPr>
              <w:t xml:space="preserve">.</w:t>
            </w:r>
          </w:p>
          <w:p>
            <w:pPr/>
            <w:r>
              <w:rPr>
                <w:rStyle w:val="row-content-rich-text"/>
              </w:rPr>
              <w:t xml:space="preserve">Supplementary information can be found in the housing collection data manuals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SOMIH programs and conform well in terms of scope, coverage and reference period. SOMIH programs are delivered in only four jurisdictions – NSW, QLD, SA and TAS.</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greatest need </w:t>
            </w:r>
            <w:r>
              <w:rPr>
                <w:rStyle w:val="row-content-rich-text"/>
              </w:rPr>
              <w:t xml:space="preserve">and </w:t>
            </w:r>
            <w:r>
              <w:rPr>
                <w:rStyle w:val="row-content-rich-text"/>
                <w:i/>
              </w:rPr>
              <w:t xml:space="preserve">vacancy reason </w:t>
            </w:r>
            <w:r>
              <w:rPr>
                <w:rStyle w:val="row-content-rich-text"/>
              </w:rPr>
              <w:t xml:space="preserve">are not consistent across the jurisdictions and are mapped to a common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jurisdictions capture all data items so substitution is required to calculate some outputs of this collection. Data items affected are </w:t>
            </w:r>
            <w:r>
              <w:rPr>
                <w:rStyle w:val="row-content-rich-text"/>
                <w:i/>
              </w:rPr>
              <w:t xml:space="preserve">gross income </w:t>
            </w:r>
            <w:r>
              <w:rPr>
                <w:rStyle w:val="row-content-rich-text"/>
              </w:rPr>
              <w:t xml:space="preserve">and </w:t>
            </w:r>
            <w:r>
              <w:rPr>
                <w:rStyle w:val="row-content-rich-text"/>
                <w:i/>
              </w:rPr>
              <w:t xml:space="preserve">assessable income</w:t>
            </w:r>
            <w:r>
              <w:rPr>
                <w:rStyle w:val="row-content-rich-text"/>
              </w:rPr>
              <w:t xml:space="preserve">. In addition, </w:t>
            </w:r>
            <w:r>
              <w:rPr>
                <w:rStyle w:val="row-content-rich-text"/>
                <w:i/>
              </w:rPr>
              <w:t xml:space="preserve">disability status </w:t>
            </w:r>
            <w:r>
              <w:rPr>
                <w:rStyle w:val="row-content-rich-text"/>
              </w:rPr>
              <w:t xml:space="preserve">is derived using the receipt of a disability pension as a proxy in some jurisdictions.</w:t>
            </w:r>
          </w:p>
          <w:p>
            <w:pPr>
              <w:pStyle w:val="ListParagraph"/>
              <w:numPr>
                <w:ilvl w:val="0"/>
                <w:numId w:val="3"/>
              </w:numPr>
            </w:pPr>
            <w:r>
              <w:rPr>
                <w:rStyle w:val="row-content-rich-text"/>
              </w:rPr>
              <w:t xml:space="preserve">For some jurisdictions, information about disability is not mandatory to report under program eligibility requirements.</w:t>
            </w:r>
          </w:p>
          <w:p>
            <w:pPr>
              <w:pStyle w:val="ListParagraph"/>
              <w:numPr>
                <w:ilvl w:val="0"/>
                <w:numId w:val="3"/>
              </w:numPr>
            </w:pPr>
            <w:r>
              <w:rPr>
                <w:rStyle w:val="row-content-rich-text"/>
              </w:rPr>
              <w:t xml:space="preserve">Indigenous status is self-identified and not mandatory to report under program eligibility requirements.</w:t>
            </w:r>
          </w:p>
          <w:p>
            <w:pPr>
              <w:pStyle w:val="ListParagraph"/>
              <w:numPr>
                <w:ilvl w:val="0"/>
                <w:numId w:val="3"/>
              </w:numPr>
            </w:pPr>
            <w:r>
              <w:rPr>
                <w:rStyle w:val="row-content-rich-text"/>
              </w:rPr>
              <w:t xml:space="preserve">Most jurisdictions do not update income information for non-rebated households, outputs produced that require income information may not be complete and accurate.</w:t>
            </w:r>
          </w:p>
          <w:p>
            <w:pPr>
              <w:pStyle w:val="ListParagraph"/>
              <w:numPr>
                <w:ilvl w:val="0"/>
                <w:numId w:val="3"/>
              </w:numPr>
            </w:pPr>
            <w:r>
              <w:rPr>
                <w:rStyle w:val="row-content-rich-text"/>
              </w:rPr>
              <w:t xml:space="preserve">Estimates produced using the Accessibility/Remoteness Index of Australia (ARIA) are rounded and this may cause discrepancies between estimates produced for regions and those produced for the total of the regions.</w:t>
            </w:r>
          </w:p>
          <w:p>
            <w:pPr>
              <w:pStyle w:val="ListParagraph"/>
              <w:numPr>
                <w:ilvl w:val="0"/>
                <w:numId w:val="3"/>
              </w:numPr>
            </w:pPr>
            <w:r>
              <w:rPr>
                <w:rStyle w:val="row-content-rich-text"/>
              </w:rPr>
              <w:t xml:space="preserve">Waitlist data are reported separately for each social housing program. Where jurisdictions have an integrated waitlist (ACT, NSW, NT, QLD, WA), applicants may be counted for each program for which they are applying. In some jurisdictions, Community Housing Organisations may additionally maintain and allocate housing to households on their own waiting list.</w:t>
            </w:r>
          </w:p>
          <w:p>
            <w:pPr>
              <w:spacing w:after="160"/>
            </w:pPr>
            <w:r>
              <w:rPr>
                <w:rStyle w:val="row-content-rich-text"/>
              </w:rPr>
              <w:t xml:space="preserve">Specific State/Territory issues:</w:t>
            </w:r>
          </w:p>
          <w:p>
            <w:pPr>
              <w:spacing w:after="160"/>
            </w:pPr>
            <w:r>
              <w:rPr>
                <w:rStyle w:val="row-content-rich-text"/>
                <w:b/>
              </w:rPr>
              <w:t xml:space="preserve">Queensland</w:t>
            </w:r>
          </w:p>
          <w:p>
            <w:pPr>
              <w:pStyle w:val="ListParagraph"/>
              <w:numPr>
                <w:ilvl w:val="0"/>
                <w:numId w:val="4"/>
              </w:numPr>
            </w:pPr>
            <w:r>
              <w:rPr>
                <w:rStyle w:val="row-content-rich-text"/>
              </w:rPr>
              <w:t xml:space="preserve">Individual Indigenous status of SOMIH tenants is not collected. SOMIH households are assumed to be Indigenous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jurisdictions may not be comparable to previous years due to differences in the accuracy of the data over time. Differences between jurisdictions concerning incomplete or missing information, out-of-date information and coding errors can affect the coherence of the outputs.</w:t>
            </w:r>
          </w:p>
          <w:p>
            <w:pPr>
              <w:spacing w:after="160"/>
            </w:pPr>
            <w:r>
              <w:rPr>
                <w:rStyle w:val="row-content-rich-text"/>
              </w:rPr>
              <w:t xml:space="preserve">Coherence over time has been affected by changes in methodology:</w:t>
            </w:r>
          </w:p>
          <w:p>
            <w:pPr>
              <w:pStyle w:val="ListParagraph"/>
              <w:numPr>
                <w:ilvl w:val="0"/>
                <w:numId w:val="5"/>
              </w:numPr>
            </w:pPr>
            <w:r>
              <w:rPr>
                <w:rStyle w:val="row-content-rich-text"/>
              </w:rPr>
              <w:t xml:space="preserve">Income measures cannot be directly compared with income figures produced prior to 2009-10 due to a change in methodology. Low income cut-offs were revised for 2014-15 data, based on the ABS Survey of Income and Housing results. This led to substantial increases in the number of households considered to be receiving a low income. Care is therefore required when comparing 2014-15 data with previous years.</w:t>
            </w:r>
          </w:p>
          <w:p>
            <w:pPr>
              <w:pStyle w:val="ListParagraph"/>
              <w:numPr>
                <w:ilvl w:val="0"/>
                <w:numId w:val="5"/>
              </w:numPr>
            </w:pPr>
            <w:r>
              <w:rPr>
                <w:rStyle w:val="row-content-rich-text"/>
              </w:rPr>
              <w:t xml:space="preserve">Measurements of overcrowding cannot be directly compared with figures produced prior to 2009-10 due to a change in methodology.</w:t>
            </w:r>
          </w:p>
          <w:p>
            <w:pPr>
              <w:pStyle w:val="ListParagraph"/>
              <w:numPr>
                <w:ilvl w:val="0"/>
                <w:numId w:val="5"/>
              </w:numPr>
            </w:pPr>
            <w:r>
              <w:rPr>
                <w:rStyle w:val="row-content-rich-text"/>
              </w:rPr>
              <w:t xml:space="preserve">Measurements of underutilisation cannot be directly compared with figures produced prior to 2011-12 due to a change in methodology.</w:t>
            </w:r>
          </w:p>
          <w:p>
            <w:pPr>
              <w:spacing w:after="160"/>
            </w:pPr>
            <w:r>
              <w:rPr>
                <w:rStyle w:val="row-content-rich-text"/>
              </w:rPr>
              <w:t xml:space="preserve">State and Territory Government housing authorities’ bedroom entitlement policies may differ from the Canadian National Occupancy Standard (CNOS) which is used in dwelling utilisation calculations.</w:t>
            </w:r>
          </w:p>
          <w:p>
            <w:pPr>
              <w:spacing w:after="160"/>
            </w:pPr>
            <w:r>
              <w:rPr>
                <w:rStyle w:val="row-content-rich-text"/>
              </w:rPr>
              <w:t xml:space="preserve">Specific State/Territory issues:</w:t>
            </w:r>
          </w:p>
          <w:p>
            <w:pPr>
              <w:spacing w:after="160"/>
            </w:pPr>
            <w:r>
              <w:rPr>
                <w:rStyle w:val="row-content-rich-text"/>
                <w:b/>
              </w:rPr>
              <w:t xml:space="preserve">South Australia</w:t>
            </w:r>
          </w:p>
          <w:p>
            <w:pPr>
              <w:pStyle w:val="ListParagraph"/>
              <w:numPr>
                <w:ilvl w:val="0"/>
                <w:numId w:val="6"/>
              </w:numPr>
            </w:pPr>
            <w:r>
              <w:rPr>
                <w:rStyle w:val="row-content-rich-text"/>
              </w:rPr>
              <w:t xml:space="preserve">Housing SA did not supply the Dwelling History file for the current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23115bd210455d">
              <w:r>
                <w:rPr>
                  <w:rStyle w:val="Hyperlink"/>
                </w:rPr>
                <w:t xml:space="preserve">State Owned and Managed Indigenous Housing data collection, 2013-14; Quality Statement</w:t>
              </w:r>
            </w:hyperlink>
          </w:p>
          <w:p>
            <w:pPr>
              <w:pStyle w:val="registration-status"/>
              <w:spacing w:before="0" w:after="0"/>
            </w:pPr>
            <w:hyperlink w:history="true" r:id="R829c772e019e4079">
              <w:r>
                <w:rPr>
                  <w:rStyle w:val="Hyperlink"/>
                  <w:color w:val="244061"/>
                </w:rPr>
                <w:t xml:space="preserve">AIHW Data Quality Statements</w:t>
              </w:r>
            </w:hyperlink>
            <w:r>
              <w:rPr>
                <w:rStyle w:val="row-content"/>
                <w:color w:val="244061"/>
              </w:rPr>
              <w:t xml:space="preserve">, Superseded 31/05/2016</w:t>
            </w:r>
          </w:p>
          <w:p>
            <w:r>
              <w:br/>
            </w:r>
            <w:r>
              <w:rPr>
                <w:rStyle w:val="row-content"/>
              </w:rPr>
              <w:t xml:space="preserve">Has been superseded by </w:t>
            </w:r>
            <w:hyperlink w:history="true" r:id="Ra6d5e0dc1bcf46c1">
              <w:r>
                <w:rPr>
                  <w:rStyle w:val="Hyperlink"/>
                </w:rPr>
                <w:t xml:space="preserve">State Owned and Managed Indigenous Housing Data Collection, 2015–16; Quality Statement</w:t>
              </w:r>
            </w:hyperlink>
          </w:p>
          <w:p>
            <w:pPr>
              <w:pStyle w:val="registration-status"/>
              <w:spacing w:before="0" w:after="0"/>
            </w:pPr>
            <w:hyperlink w:history="true" r:id="R7ddc50167c7c497b">
              <w:r>
                <w:rPr>
                  <w:rStyle w:val="Hyperlink"/>
                  <w:color w:val="244061"/>
                </w:rPr>
                <w:t xml:space="preserve">AIHW Data Quality Statements</w:t>
              </w:r>
            </w:hyperlink>
            <w:r>
              <w:rPr>
                <w:rStyle w:val="row-content"/>
                <w:color w:val="244061"/>
              </w:rPr>
              <w:t xml:space="preserve">, Superseded 22/12/2017</w:t>
            </w:r>
          </w:p>
          <w:p>
            <w:r>
              <w:br/>
            </w:r>
          </w:p>
        </w:tc>
      </w:tr>
    </w:tbl>
    <w:p>
      <w:r>
        <w:br/>
      </w:r>
    </w:p>
    <w:sectPr>
      <w:footerReference xmlns:r="http://schemas.openxmlformats.org/officeDocument/2006/relationships" w:type="default" r:id="R0c02376806e04a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628209</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ca3ac76ac34a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02376806e04a9c" /><Relationship Type="http://schemas.openxmlformats.org/officeDocument/2006/relationships/header" Target="/word/header1.xml" Id="R2e49f7600edc4da9" /><Relationship Type="http://schemas.openxmlformats.org/officeDocument/2006/relationships/settings" Target="/word/settings.xml" Id="R5dbc00e457e343cf" /><Relationship Type="http://schemas.openxmlformats.org/officeDocument/2006/relationships/styles" Target="/word/styles.xml" Id="Rba2ec339d5e74860" /><Relationship Type="http://schemas.openxmlformats.org/officeDocument/2006/relationships/numbering" Target="/word/numbering.xml" Id="R0bfc194614d74b54" /><Relationship Type="http://schemas.openxmlformats.org/officeDocument/2006/relationships/hyperlink" Target="https://meteor.aihw.gov.au/RegistrationAuthority/5" TargetMode="External" Id="R93f4f28a9efa4d53" /><Relationship Type="http://schemas.openxmlformats.org/officeDocument/2006/relationships/hyperlink" Target="https://www.legislation.gov.au/Series/C2004A03450" TargetMode="External" Id="R7037b2c0d1d04241" /><Relationship Type="http://schemas.openxmlformats.org/officeDocument/2006/relationships/hyperlink" Target="http://www.aihw.gov.au/aihw-board/" TargetMode="External" Id="Rbc05ef7ed55d49f5" /><Relationship Type="http://schemas.openxmlformats.org/officeDocument/2006/relationships/hyperlink" Target="https://www.legislation.gov.au/Series/C2004A03450" TargetMode="External" Id="Re1240d969def476e" /><Relationship Type="http://schemas.openxmlformats.org/officeDocument/2006/relationships/hyperlink" Target="https://www.legislation.gov.au/Details/C2011C00503" TargetMode="External" Id="R79abe7ac4c9b44b0" /><Relationship Type="http://schemas.openxmlformats.org/officeDocument/2006/relationships/hyperlink" Target="http://www.aihw.gov.au/" TargetMode="External" Id="R4acf44e0b9cf4beb" /><Relationship Type="http://schemas.openxmlformats.org/officeDocument/2006/relationships/hyperlink" Target="http://www.aihw.gov.au/housing-assistance/" TargetMode="External" Id="R04588d0f5dcc4f0e" /><Relationship Type="http://schemas.openxmlformats.org/officeDocument/2006/relationships/hyperlink" Target="http://www.pc.gov.au/research/ongoing/report-on-government-services/2016" TargetMode="External" Id="R49f8a50953094f28" /><Relationship Type="http://schemas.openxmlformats.org/officeDocument/2006/relationships/hyperlink" Target="https://datarequest.aihw.gov.au/_layouts/AdHocDataRequest/LodgeRequest.aspx/" TargetMode="External" Id="R9de06ded6705461c" /><Relationship Type="http://schemas.openxmlformats.org/officeDocument/2006/relationships/hyperlink" Target="mailto:info@aihw.gov.au" TargetMode="External" Id="R24965b9762f9425f" /><Relationship Type="http://schemas.openxmlformats.org/officeDocument/2006/relationships/hyperlink" Target="http://www.aihw.gov.au/publication-detail/?id=60129543695" TargetMode="External" Id="Ra0ef68b20e6e4941" /><Relationship Type="http://schemas.openxmlformats.org/officeDocument/2006/relationships/hyperlink" Target="https://meteor.aihw.gov.au/content/600439" TargetMode="External" Id="R0323115bd210455d" /><Relationship Type="http://schemas.openxmlformats.org/officeDocument/2006/relationships/hyperlink" Target="https://meteor.aihw.gov.au/RegistrationAuthority/5" TargetMode="External" Id="R829c772e019e4079" /><Relationship Type="http://schemas.openxmlformats.org/officeDocument/2006/relationships/hyperlink" Target="https://meteor.aihw.gov.au/content/656269" TargetMode="External" Id="Ra6d5e0dc1bcf46c1" /><Relationship Type="http://schemas.openxmlformats.org/officeDocument/2006/relationships/hyperlink" Target="https://meteor.aihw.gov.au/RegistrationAuthority/5" TargetMode="External" Id="R7ddc50167c7c497b" /></Relationships>
</file>

<file path=word/_rels/header1.xml.rels>&#65279;<?xml version="1.0" encoding="utf-8"?><Relationships xmlns="http://schemas.openxmlformats.org/package/2006/relationships"><Relationship Type="http://schemas.openxmlformats.org/officeDocument/2006/relationships/image" Target="/media/image.png" Id="Radca3ac76ac34a2d" /></Relationships>
</file>