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6855409e5947b7"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7b-Proportion of older patients with current or resolved delirium who are readmitted for delirium within 28 days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7b-Proportion of older patients with current or resolved delirium who are readmitted for delirium within 28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7b-Proportion of older patients with current or resolved delirium who are readmitted for delirium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924ea945f4c3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older patients with current or resolved delirium who are readmitted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58d7c7e993a441ef">
              <w:r>
                <w:rPr>
                  <w:rStyle w:val="Hyperlink"/>
                  <w:b/>
                </w:rPr>
                <w:t xml:space="preserve">delirium</w:t>
              </w:r>
            </w:hyperlink>
            <w:r>
              <w:rPr>
                <w:rStyle w:val="row-content-rich-text"/>
              </w:rPr>
              <w:t xml:space="preserve">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common for patients to be discharged from hospital settings without full resolution of delirium symptoms (Wong et al. 2012). For these patients, and for those with resolved delirium, it is essential that the person’s family, GP and other relevant service providers are informed of their status and ongoing professional monitoring, treatment and support is scheduled (Clinical Epidemiology and Health Service Evaluation Unit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829be2421d4d9a">
              <w:r>
                <w:rPr>
                  <w:rStyle w:val="Hyperlink"/>
                </w:rPr>
                <w:t xml:space="preserve">Clinical care standard indicators: delirium</w:t>
              </w:r>
            </w:hyperlink>
          </w:p>
          <w:p>
            <w:pPr>
              <w:spacing w:before="0" w:after="0"/>
            </w:pPr>
            <w:r>
              <w:rPr>
                <w:rStyle w:val="row-content"/>
                <w:color w:val="244061"/>
              </w:rPr>
              <w:t xml:space="preserve">       </w:t>
            </w:r>
            <w:hyperlink w:history="true" r:id="R8f88b1ec44c64af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31a70e35674b71">
              <w:r>
                <w:rPr>
                  <w:rStyle w:val="Hyperlink"/>
                </w:rPr>
                <w:t xml:space="preserve">Transition from hospital care</w:t>
              </w:r>
            </w:hyperlink>
          </w:p>
          <w:p>
            <w:pPr>
              <w:spacing w:before="0" w:after="0"/>
            </w:pPr>
            <w:r>
              <w:rPr>
                <w:rStyle w:val="row-content"/>
                <w:color w:val="244061"/>
              </w:rPr>
              <w:t xml:space="preserve">       </w:t>
            </w:r>
            <w:hyperlink w:history="true" r:id="Rdbc4ead184524174">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current or resolved delirium who are readmitted to hospital for delirium within 28 days following discharge from the initial episode of care during which the delirium was diagnosed.</w:t>
            </w:r>
          </w:p>
          <w:p>
            <w:pPr>
              <w:spacing w:after="160"/>
            </w:pPr>
            <w:r>
              <w:rPr>
                <w:rStyle w:val="row-content-rich-text"/>
              </w:rPr>
              <w:t xml:space="preserve">The denominator excludes any patients who die during the episode of care in which the delirium was diagnosed or within 28 days of discharge following this episode.</w:t>
            </w:r>
          </w:p>
          <w:p>
            <w:pPr>
              <w:spacing w:after="160"/>
            </w:pPr>
            <w:r>
              <w:rPr>
                <w:rStyle w:val="row-content-rich-text"/>
              </w:rPr>
              <w:t xml:space="preserve"> </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ab8cd224a42444a7">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current or resolved delirium readmitted to hospital for delirium within 28 days following discharge from the initial episode of care during which the delirium was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discharged from hospital with current or resolved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effective, this indicator should include readmissions to any hospital. This relies on linked data and/or the use of a unique identifier, preferably across a geographic region where patients are likely to be readmitted (for example,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c560ccb9244403b">
              <w:r>
                <w:rPr>
                  <w:rStyle w:val="Hyperlink"/>
                  <w:b/>
                </w:rPr>
                <w:t xml:space="preserve">Local Hospital Network</w:t>
              </w:r>
            </w:hyperlink>
            <w:r>
              <w:rPr>
                <w:rStyle w:val="row-content-rich-text"/>
              </w:rPr>
              <w:t xml:space="preserve">).</w:t>
            </w:r>
          </w:p>
          <w:p>
            <w:pPr/>
            <w:r>
              <w:rPr>
                <w:rStyle w:val="row-content-rich-text"/>
              </w:rPr>
              <w:t xml:space="preserve">This indicator was sourced from </w:t>
            </w:r>
            <w:r>
              <w:rPr>
                <w:rStyle w:val="row-content-rich-text"/>
                <w:i/>
              </w:rPr>
              <w:t xml:space="preserve">The Ontario senior friendly hospital strategy delirium and functional decline indicators </w:t>
            </w:r>
            <w:r>
              <w:rPr>
                <w:rStyle w:val="row-content-rich-text"/>
              </w:rPr>
              <w:t xml:space="preserve">(Wong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84a9c82664a34fb1">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519a15dbc459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de3dba9dd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a15dbc4594a43" /><Relationship Type="http://schemas.openxmlformats.org/officeDocument/2006/relationships/header" Target="/word/header1.xml" Id="R16db8ad13a624666" /><Relationship Type="http://schemas.openxmlformats.org/officeDocument/2006/relationships/settings" Target="/word/settings.xml" Id="R36c89ba0f5c34b67" /><Relationship Type="http://schemas.openxmlformats.org/officeDocument/2006/relationships/styles" Target="/word/styles.xml" Id="Rc27d4ca6e51c447c" /><Relationship Type="http://schemas.openxmlformats.org/officeDocument/2006/relationships/hyperlink" Target="https://meteor.aihw.gov.au/RegistrationAuthority/12" TargetMode="External" Id="R3d4924ea945f4c3c" /><Relationship Type="http://schemas.openxmlformats.org/officeDocument/2006/relationships/hyperlink" Target="https://meteor.aihw.gov.au/content/628579" TargetMode="External" Id="R58d7c7e993a441ef" /><Relationship Type="http://schemas.openxmlformats.org/officeDocument/2006/relationships/hyperlink" Target="https://meteor.aihw.gov.au/content/613164" TargetMode="External" Id="R4e829be2421d4d9a" /><Relationship Type="http://schemas.openxmlformats.org/officeDocument/2006/relationships/hyperlink" Target="https://meteor.aihw.gov.au/RegistrationAuthority/12" TargetMode="External" Id="R8f88b1ec44c64af1" /><Relationship Type="http://schemas.openxmlformats.org/officeDocument/2006/relationships/hyperlink" Target="https://meteor.aihw.gov.au/content/624413" TargetMode="External" Id="R5d31a70e35674b71" /><Relationship Type="http://schemas.openxmlformats.org/officeDocument/2006/relationships/hyperlink" Target="https://meteor.aihw.gov.au/RegistrationAuthority/12" TargetMode="External" Id="Rdbc4ead184524174" /><Relationship Type="http://schemas.openxmlformats.org/officeDocument/2006/relationships/numbering" Target="/word/numbering.xml" Id="R54270eae51854dc9" /><Relationship Type="http://schemas.openxmlformats.org/officeDocument/2006/relationships/hyperlink" Target="https://meteor.aihw.gov.au/content/584408" TargetMode="External" Id="Rab8cd224a42444a7" /><Relationship Type="http://schemas.openxmlformats.org/officeDocument/2006/relationships/hyperlink" Target="https://meteor.aihw.gov.au/content/491016" TargetMode="External" Id="R2c560ccb9244403b" /><Relationship Type="http://schemas.openxmlformats.org/officeDocument/2006/relationships/hyperlink" Target="http://docs.health.vic.gov.au/docs/doc/A9F4D074829CD75ACA25785200120044/$FILE/delirium-cpg.pdf" TargetMode="External" Id="R84a9c82664a34fb1" /></Relationships>
</file>

<file path=word/_rels/header1.xml.rels>&#65279;<?xml version="1.0" encoding="utf-8"?><Relationships xmlns="http://schemas.openxmlformats.org/package/2006/relationships"><Relationship Type="http://schemas.openxmlformats.org/officeDocument/2006/relationships/image" Target="/media/image.png" Id="R712de3dba9dd47c7" /></Relationships>
</file>