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cba1c146da40e8"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6b-Proportion of patients with delirium prescribed antipsychotic medicines in hospital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6b-Proportion of patients with delirium prescribed antipsychotic medicines in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6b-Proportion of patients with delirium prescribed antipsychotic medicines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3e0c6b49c148a1">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e3bde506a85740cc">
              <w:r>
                <w:rPr>
                  <w:rStyle w:val="Hyperlink"/>
                  <w:b/>
                </w:rPr>
                <w:t xml:space="preserve">delirium </w:t>
              </w:r>
            </w:hyperlink>
            <w:r>
              <w:rPr>
                <w:rStyle w:val="row-content-rich-text"/>
              </w:rPr>
              <w:t xml:space="preserve">prescribed antipsychotic medicines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Antipsychotic medicines have a number of serious adverse effects for older people and can worsen delirium (Psychotropic Expert Group 2013; National Institute for Health and Clinical Excellence 2010). Reserving antipsychotic medicines for patients who are severely distressed and in whom non-drug strategies are ineffective may help reduce the incidence of adverse drug events (National Institute for Health and Clinical Excellence 2010; Clinical Epidemiology and Health Service Evaluation Unit 2006). Other psychotropic medicines (e.g. benzodiazepines) are not an appropriate alternative to an antipsychotic medicine (Clinical Epidemiology and Health Service Evaluation Unit 2006; AMH Aged Care Companion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64b8b846394266">
              <w:r>
                <w:rPr>
                  <w:rStyle w:val="Hyperlink"/>
                </w:rPr>
                <w:t xml:space="preserve">Clinical care standard indicators: delirium</w:t>
              </w:r>
            </w:hyperlink>
          </w:p>
          <w:p>
            <w:pPr>
              <w:spacing w:before="0" w:after="0"/>
            </w:pPr>
            <w:r>
              <w:rPr>
                <w:rStyle w:val="row-content"/>
                <w:color w:val="244061"/>
              </w:rPr>
              <w:t xml:space="preserve">       </w:t>
            </w:r>
            <w:hyperlink w:history="true" r:id="Rb01217a81c1145f7">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9dc47f70e1546ba">
              <w:r>
                <w:rPr>
                  <w:rStyle w:val="Hyperlink"/>
                </w:rPr>
                <w:t xml:space="preserve">Minimising use of antipsychotic medicines</w:t>
              </w:r>
            </w:hyperlink>
          </w:p>
          <w:p>
            <w:pPr>
              <w:spacing w:before="0" w:after="0"/>
            </w:pPr>
            <w:r>
              <w:rPr>
                <w:rStyle w:val="row-content"/>
                <w:color w:val="244061"/>
              </w:rPr>
              <w:t xml:space="preserve">       </w:t>
            </w:r>
            <w:hyperlink w:history="true" r:id="Rfd0eb3f048974f2f">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delirium for whom a comprehensive assessment to investigate the cause(s) of their delirium is undertaken during the hospital stay and is documented in their medical record.</w:t>
            </w:r>
          </w:p>
          <w:p>
            <w:pPr>
              <w:spacing w:after="160"/>
            </w:pPr>
            <w:r>
              <w:rPr>
                <w:rStyle w:val="row-content-rich-text"/>
              </w:rPr>
              <w:t xml:space="preserve"> </w:t>
            </w:r>
          </w:p>
          <w:p>
            <w:pPr>
              <w:spacing w:after="160"/>
            </w:pPr>
            <w:r>
              <w:rPr>
                <w:rStyle w:val="row-content-rich-text"/>
              </w:rPr>
              <w:t xml:space="preserve">Unless explicitly stated in the indicator, all patients with delirium are included in both the numerator and the denominator, not only those where </w:t>
            </w:r>
            <w:hyperlink w:history="true" r:id="R40aff325fb114502">
              <w:r>
                <w:rPr>
                  <w:rStyle w:val="Hyperlink"/>
                </w:rPr>
                <w:t xml:space="preserve">Hospital service—care type, code N[N]</w:t>
              </w:r>
            </w:hyperlink>
            <w:r>
              <w:rPr>
                <w:rStyle w:val="row-content-rich-text"/>
              </w:rPr>
              <w:t xml:space="preserve"> = 1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 for whom an antipsychotic medicine was prescribed during the hospital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Antipsychotics medicines include (Psychotropic Expert Group 2013; ACI 2014): haloperidol, olanzapine, quetiapine, risperidone, amisulpride, aripiprazole, asenapine, chlorpromazine, clozapine, droperidol, flupenthixol, fluphenazine, paliperidone, pericyazine, quetiapine, triifluoperazine, ziprasidone, zuclopenthixole.</w:t>
            </w:r>
          </w:p>
          <w:p>
            <w:pPr>
              <w:spacing w:after="160"/>
            </w:pPr>
            <w:r>
              <w:rPr>
                <w:rStyle w:val="row-content-rich-text"/>
              </w:rPr>
              <w:t xml:space="preserve">This indicator is best derived by obtaining information about prescriptions dispensed from the hospital’s pharmacy system. The most practical way to derive this information is to generate a list of all patients with delirium for the period, and obtain a report from the pharmacy dispensing system of the prescriptions of antipsychotic medicines for these patients.</w:t>
            </w:r>
          </w:p>
          <w:p>
            <w:pPr/>
            <w:r>
              <w:rPr>
                <w:rStyle w:val="row-content-rich-text"/>
              </w:rPr>
              <w:t xml:space="preserve">This indicator has been sourced from the </w:t>
            </w:r>
            <w:r>
              <w:rPr>
                <w:rStyle w:val="row-content-rich-text"/>
                <w:i/>
              </w:rPr>
              <w:t xml:space="preserve">Key principles for care of confused hospitalised older persons </w:t>
            </w:r>
            <w:r>
              <w:rPr>
                <w:rStyle w:val="row-content-rich-text"/>
              </w:rPr>
              <w:t xml:space="preserve">(ACI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AMH Aged Care Companion 2014. Adelaide: Australian Medicines Handbook Pty Ltd.</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66a7f38eca5546c3">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National Institute for Health and Clinical Excellence 2010. Delirium: diagnosis, prevention and management; Clinical guideline 103. London: NICE.</w:t>
            </w:r>
          </w:p>
          <w:p>
            <w:pPr/>
            <w:r>
              <w:rPr>
                <w:rStyle w:val="row-content-rich-text"/>
              </w:rPr>
              <w:t xml:space="preserve">Psychotropic Expert Group 2013. Therapeutic guidelines: psychotropic version 7. Melbourne: Therapeutic Guidelines Limited. Viewed 5 May 2016,  </w:t>
            </w:r>
            <w:hyperlink w:history="true" r:id="R0129e57d455c4761">
              <w:r>
                <w:rPr>
                  <w:rStyle w:val="Hyperlink"/>
                </w:rPr>
                <w:t xml:space="preserve">http://www.tg.org.au/index.php?sectionid=48</w:t>
              </w:r>
            </w:hyperlink>
            <w:r>
              <w:rPr>
                <w:rStyle w:val="row-content-rich-text"/>
              </w:rPr>
              <w:t xml:space="preserve">.</w:t>
            </w:r>
          </w:p>
        </w:tc>
      </w:tr>
    </w:tbl>
    <w:p>
      <w:r>
        <w:br/>
      </w:r>
    </w:p>
    <w:sectPr>
      <w:footerReference xmlns:r="http://schemas.openxmlformats.org/officeDocument/2006/relationships" w:type="default" r:id="R9ac42856b985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628110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32c0a12184b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42856b9854afc" /><Relationship Type="http://schemas.openxmlformats.org/officeDocument/2006/relationships/header" Target="/word/header1.xml" Id="R0a61dc3d75504c72" /><Relationship Type="http://schemas.openxmlformats.org/officeDocument/2006/relationships/settings" Target="/word/settings.xml" Id="R4b867257676845a3" /><Relationship Type="http://schemas.openxmlformats.org/officeDocument/2006/relationships/styles" Target="/word/styles.xml" Id="R5b2c61bba9584afc" /><Relationship Type="http://schemas.openxmlformats.org/officeDocument/2006/relationships/hyperlink" Target="https://meteor.aihw.gov.au/RegistrationAuthority/12" TargetMode="External" Id="R7e3e0c6b49c148a1" /><Relationship Type="http://schemas.openxmlformats.org/officeDocument/2006/relationships/hyperlink" Target="https://meteor.aihw.gov.au/content/628579" TargetMode="External" Id="Re3bde506a85740cc" /><Relationship Type="http://schemas.openxmlformats.org/officeDocument/2006/relationships/hyperlink" Target="https://meteor.aihw.gov.au/content/613164" TargetMode="External" Id="R6e64b8b846394266" /><Relationship Type="http://schemas.openxmlformats.org/officeDocument/2006/relationships/hyperlink" Target="https://meteor.aihw.gov.au/RegistrationAuthority/12" TargetMode="External" Id="Rb01217a81c1145f7" /><Relationship Type="http://schemas.openxmlformats.org/officeDocument/2006/relationships/hyperlink" Target="https://meteor.aihw.gov.au/content/624408" TargetMode="External" Id="Rd9dc47f70e1546ba" /><Relationship Type="http://schemas.openxmlformats.org/officeDocument/2006/relationships/hyperlink" Target="https://meteor.aihw.gov.au/RegistrationAuthority/12" TargetMode="External" Id="Rfd0eb3f048974f2f" /><Relationship Type="http://schemas.openxmlformats.org/officeDocument/2006/relationships/numbering" Target="/word/numbering.xml" Id="Rcf5b945aa6cf44f9" /><Relationship Type="http://schemas.openxmlformats.org/officeDocument/2006/relationships/hyperlink" Target="https://meteor.aihw.gov.au/content/584408" TargetMode="External" Id="R40aff325fb114502" /><Relationship Type="http://schemas.openxmlformats.org/officeDocument/2006/relationships/hyperlink" Target="http://docs.health.vic.gov.au/docs/doc/A9F4D074829CD75ACA25785200120044/$FILE/delirium-cpg.pdf" TargetMode="External" Id="R66a7f38eca5546c3" /><Relationship Type="http://schemas.openxmlformats.org/officeDocument/2006/relationships/hyperlink" Target="http://www.tg.org.au/index.php?sectionid=48" TargetMode="External" Id="R0129e57d455c4761" /></Relationships>
</file>

<file path=word/_rels/header1.xml.rels>&#65279;<?xml version="1.0" encoding="utf-8"?><Relationships xmlns="http://schemas.openxmlformats.org/package/2006/relationships"><Relationship Type="http://schemas.openxmlformats.org/officeDocument/2006/relationships/image" Target="/media/image.png" Id="R43732c0a12184b1b" /></Relationships>
</file>