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012ba9905f4c52" /></Relationships>
</file>

<file path=word/document.xml><?xml version="1.0" encoding="utf-8"?>
<w:document xmlns:r="http://schemas.openxmlformats.org/officeDocument/2006/relationships" xmlns:w="http://schemas.openxmlformats.org/wordprocessingml/2006/main">
  <w:body>
    <w:p>
      <w:pPr>
        <w:pStyle w:val="Title"/>
      </w:pPr>
      <w:r>
        <w:t>Delirium clinical care standard indicators: 5c-Proportion of patients with delirium who have had a fall or a pressure injury during their hospital stay</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Delirium clinical care standard indicators: 5c-Proportion of patients with delirium who have had a fall or a pressure injury during their hospital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5c-Proportion of patients with delirium who have had a fall or a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628108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2ba27945b0498b">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w:t>
            </w:r>
            <w:hyperlink w:tooltip="For the purposes of the Delirium clinical care standard (ACSQHC 2015), delirium is defined as an acute change in mental status that is common among older patients in hospital (Clinical Epidemiology and Health Service Evaluation Unit 2006). It is charac..." w:history="true" r:id="R4a4fd610974c4a02">
              <w:r>
                <w:rPr>
                  <w:rStyle w:val="Hyperlink"/>
                  <w:b/>
                </w:rPr>
                <w:t xml:space="preserve">delirium </w:t>
              </w:r>
            </w:hyperlink>
            <w:r>
              <w:rPr>
                <w:rStyle w:val="row-content-rich-text"/>
              </w:rPr>
              <w:t xml:space="preserve">who have had a fall or a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Patients with delirium are at greater risk of adverse events, including falls (Travers et al. 2013; Inouye et al. 2014; Maher &amp; Almeida 2002) and pressure injuries (Inouye et al. 2014; Maher &amp; Almeida 2002).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d69099adeff448f">
              <w:r>
                <w:rPr>
                  <w:rStyle w:val="Hyperlink"/>
                </w:rPr>
                <w:t xml:space="preserve">Clinical care standard indicators: delirium</w:t>
              </w:r>
            </w:hyperlink>
          </w:p>
          <w:p>
            <w:pPr>
              <w:spacing w:before="0" w:after="0"/>
            </w:pPr>
            <w:r>
              <w:rPr>
                <w:rStyle w:val="row-content"/>
                <w:color w:val="244061"/>
              </w:rPr>
              <w:t xml:space="preserve">       </w:t>
            </w:r>
            <w:hyperlink w:history="true" r:id="Ra744f9f52fcc4c15">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6d0d132e9984918">
              <w:r>
                <w:rPr>
                  <w:rStyle w:val="Hyperlink"/>
                </w:rPr>
                <w:t xml:space="preserve">Preventing falls and pressure injuries</w:t>
              </w:r>
            </w:hyperlink>
          </w:p>
          <w:p>
            <w:pPr>
              <w:spacing w:before="0" w:after="0"/>
            </w:pPr>
            <w:r>
              <w:rPr>
                <w:rStyle w:val="row-content"/>
                <w:color w:val="244061"/>
              </w:rPr>
              <w:t xml:space="preserve">       </w:t>
            </w:r>
            <w:hyperlink w:history="true" r:id="Rc5f047824119406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delirium who have had a fall and/or a pressure injury recorded in the hospital’s incident reporting and management system.</w:t>
            </w:r>
          </w:p>
          <w:p>
            <w:pPr>
              <w:spacing w:after="160"/>
            </w:pPr>
            <w:r>
              <w:rPr>
                <w:rStyle w:val="row-content-rich-text"/>
              </w:rPr>
              <w:t xml:space="preserve">Only count Stage II, III or IV pressure injuries, or unstageable, or suspected deep tissue injury (NPUAP &amp; EPUAP 2009; Australian Wound Management Association 2012):</w:t>
            </w:r>
          </w:p>
          <w:p>
            <w:pPr>
              <w:pStyle w:val="ListParagraph"/>
              <w:numPr>
                <w:ilvl w:val="0"/>
                <w:numId w:val="2"/>
              </w:numPr>
            </w:pPr>
            <w:r>
              <w:rPr>
                <w:rStyle w:val="row-content-rich-text"/>
              </w:rPr>
              <w:t xml:space="preserve">Stage II pressure injury: partial thickness skin loss (partial thickness loss of dermis presenting as a shallow open ulcer with a red pink wound bed, with slough).</w:t>
            </w:r>
          </w:p>
          <w:p>
            <w:pPr>
              <w:pStyle w:val="ListParagraph"/>
              <w:numPr>
                <w:ilvl w:val="0"/>
                <w:numId w:val="2"/>
              </w:numPr>
            </w:pPr>
            <w:r>
              <w:rPr>
                <w:rStyle w:val="row-content-rich-text"/>
              </w:rPr>
              <w:t xml:space="preserve">Stage III pressure injury: full thickness skin loss (subcutaneous fat may be visible but bone, tendon or muscle are not fully exposed).</w:t>
            </w:r>
          </w:p>
          <w:p>
            <w:pPr>
              <w:pStyle w:val="ListParagraph"/>
              <w:numPr>
                <w:ilvl w:val="0"/>
                <w:numId w:val="2"/>
              </w:numPr>
            </w:pPr>
            <w:r>
              <w:rPr>
                <w:rStyle w:val="row-content-rich-text"/>
              </w:rPr>
              <w:t xml:space="preserve">Stage IV pressure injury: full thickness tissue loss (full thickness tissue loss with exposed bone, tendon or muscle)</w:t>
            </w:r>
          </w:p>
          <w:p>
            <w:pPr>
              <w:pStyle w:val="ListParagraph"/>
              <w:numPr>
                <w:ilvl w:val="0"/>
                <w:numId w:val="2"/>
              </w:numPr>
            </w:pPr>
            <w:r>
              <w:rPr>
                <w:rStyle w:val="row-content-rich-text"/>
              </w:rPr>
              <w:t xml:space="preserve">Suspected deep tissue injury: depth unknown (purple or maroon localised area or discoloured, intact skin or blood-filled blister due to damage of underlying soft tissue from pressure and/or shear).</w:t>
            </w:r>
          </w:p>
          <w:p>
            <w:pPr>
              <w:pStyle w:val="ListParagraph"/>
              <w:numPr>
                <w:ilvl w:val="0"/>
                <w:numId w:val="2"/>
              </w:numPr>
            </w:pPr>
            <w:r>
              <w:rPr>
                <w:rStyle w:val="row-content-rich-text"/>
              </w:rPr>
              <w:t xml:space="preserve">Unstageable pressure injury: depth unknown (full thickness tissue loss in which the base of the pressure injury is covered by slough (yellow, tan, grey, green or brown) and/or eschar (tan, brown or black) in the presuure injury bed).</w:t>
            </w:r>
          </w:p>
          <w:p>
            <w:pPr>
              <w:spacing w:after="160"/>
            </w:pPr>
            <w:r>
              <w:rPr>
                <w:rStyle w:val="row-content-rich-text"/>
              </w:rPr>
              <w:t xml:space="preserve">Only count falls and/or pressure injuries noted as occurring during the hospital stay.</w:t>
            </w:r>
          </w:p>
          <w:p>
            <w:pPr>
              <w:spacing w:after="160"/>
            </w:pPr>
            <w:r>
              <w:rPr>
                <w:rStyle w:val="row-content-rich-text"/>
              </w:rPr>
              <w:t xml:space="preserve">All patients with delirium are included in both the numerator and the denominator, not only those where </w:t>
            </w:r>
            <w:hyperlink w:history="true" r:id="Rbcf1a5a42fe34dea">
              <w:r>
                <w:rPr>
                  <w:rStyle w:val="Hyperlink"/>
                </w:rPr>
                <w:t xml:space="preserve">Hospital service—care type, code N[N]</w:t>
              </w:r>
            </w:hyperlink>
            <w:r>
              <w:rPr>
                <w:rStyle w:val="row-content-rich-text"/>
              </w:rPr>
              <w:t xml:space="preserve"> = 1 Acute care.</w:t>
            </w:r>
          </w:p>
          <w:p>
            <w:pPr>
              <w:spacing w:after="160"/>
            </w:pPr>
            <w:r>
              <w:rPr>
                <w:rStyle w:val="row-content-rich-text"/>
              </w:rPr>
              <w:t xml:space="preserve"> </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 who have had a fall or a pressure injury during their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delirium.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sourced from the </w:t>
            </w:r>
            <w:r>
              <w:rPr>
                <w:rStyle w:val="row-content-rich-text"/>
                <w:i/>
              </w:rPr>
              <w:t xml:space="preserve">Key principles for care of confused hospitalised older persons </w:t>
            </w:r>
            <w:r>
              <w:rPr>
                <w:rStyle w:val="row-content-rich-text"/>
              </w:rPr>
              <w:t xml:space="preserve">(ACI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ACI (Agency for Clinical Innovation) 2014. Key Principles for care of confused hospitalised older persons. Sydney: ACI.</w:t>
            </w:r>
          </w:p>
          <w:p>
            <w:pPr>
              <w:spacing w:after="160"/>
            </w:pPr>
            <w:r>
              <w:rPr>
                <w:rStyle w:val="row-content-rich-text"/>
              </w:rPr>
              <w:t xml:space="preserve">Australian Wound Management Association 2012. Pan Pacific clinical practice guideline for the prevention and management of pressure injury, WA: Cambridge Media. Viewed 7 August 2016,</w:t>
            </w:r>
            <w:r>
              <w:br/>
            </w:r>
            <w:hyperlink w:history="true" r:id="R962978faa39041c7">
              <w:r>
                <w:rPr>
                  <w:rStyle w:val="Hyperlink"/>
                </w:rPr>
                <w:t xml:space="preserve">http://www.awma.com.au/publications/2012_AWMA_Pan_Pacific_Guidelines.pdf</w:t>
              </w:r>
            </w:hyperlink>
            <w:r>
              <w:rPr>
                <w:rStyle w:val="row-content-rich-text"/>
              </w:rPr>
              <w:t xml:space="preserve">.</w:t>
            </w:r>
          </w:p>
          <w:p>
            <w:pPr>
              <w:spacing w:after="160"/>
            </w:pPr>
            <w:r>
              <w:rPr>
                <w:rStyle w:val="row-content-rich-text"/>
              </w:rPr>
              <w:t xml:space="preserve">Inouye S, Westendorp R &amp; Saczynski J 2014. Delirium in elderly people. The Lancet. 383(9920):911-22.</w:t>
            </w:r>
          </w:p>
          <w:p>
            <w:pPr>
              <w:spacing w:after="160"/>
            </w:pPr>
            <w:r>
              <w:rPr>
                <w:rStyle w:val="row-content-rich-text"/>
              </w:rPr>
              <w:t xml:space="preserve">Maher S &amp; Almeida O 2002. Delirium in the elderly another medical emergency. Current Therapeutics March 39-45.</w:t>
            </w:r>
          </w:p>
          <w:p>
            <w:pPr>
              <w:spacing w:after="160"/>
            </w:pPr>
            <w:r>
              <w:rPr>
                <w:rStyle w:val="row-content-rich-text"/>
              </w:rPr>
              <w:t xml:space="preserve">NPUAP (National Pressure Ulcer Advisory Panel) &amp; EPUAP (European Pressure Ulcer Advisory Panel) 2009. Prevention and treatment of pressure ulcers: clinical practice guideline. Washington DC: NPUAP.</w:t>
            </w:r>
          </w:p>
          <w:p>
            <w:pPr/>
            <w:r>
              <w:rPr>
                <w:rStyle w:val="row-content-rich-text"/>
              </w:rPr>
              <w:t xml:space="preserve">Travers C, Byrne G, Pachana N, Klein K &amp; Gray L 2013. Delirium in Australian hospitals: a prospective study. Current Gerontology and Geriatrics Research 2013:284780.</w:t>
            </w:r>
          </w:p>
        </w:tc>
      </w:tr>
    </w:tbl>
    <w:p>
      <w:r>
        <w:br/>
      </w:r>
    </w:p>
    <w:sectPr>
      <w:footerReference xmlns:r="http://schemas.openxmlformats.org/officeDocument/2006/relationships" w:type="default" r:id="Re58373b8d4af4e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628108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db3f9e2704e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8373b8d4af4e34" /><Relationship Type="http://schemas.openxmlformats.org/officeDocument/2006/relationships/header" Target="/word/header1.xml" Id="Rf2e3f11facea454b" /><Relationship Type="http://schemas.openxmlformats.org/officeDocument/2006/relationships/settings" Target="/word/settings.xml" Id="R5b0ab9a2b56a4f05" /><Relationship Type="http://schemas.openxmlformats.org/officeDocument/2006/relationships/styles" Target="/word/styles.xml" Id="Rdc1cc69478e44de3" /><Relationship Type="http://schemas.openxmlformats.org/officeDocument/2006/relationships/hyperlink" Target="https://meteor.aihw.gov.au/RegistrationAuthority/12" TargetMode="External" Id="Rbe2ba27945b0498b" /><Relationship Type="http://schemas.openxmlformats.org/officeDocument/2006/relationships/hyperlink" Target="https://meteor.aihw.gov.au/content/628579" TargetMode="External" Id="R4a4fd610974c4a02" /><Relationship Type="http://schemas.openxmlformats.org/officeDocument/2006/relationships/hyperlink" Target="https://meteor.aihw.gov.au/content/613164" TargetMode="External" Id="Rad69099adeff448f" /><Relationship Type="http://schemas.openxmlformats.org/officeDocument/2006/relationships/hyperlink" Target="https://meteor.aihw.gov.au/RegistrationAuthority/12" TargetMode="External" Id="Ra744f9f52fcc4c15" /><Relationship Type="http://schemas.openxmlformats.org/officeDocument/2006/relationships/hyperlink" Target="https://meteor.aihw.gov.au/content/624405" TargetMode="External" Id="R06d0d132e9984918" /><Relationship Type="http://schemas.openxmlformats.org/officeDocument/2006/relationships/hyperlink" Target="https://meteor.aihw.gov.au/RegistrationAuthority/12" TargetMode="External" Id="Rc5f0478241194062" /><Relationship Type="http://schemas.openxmlformats.org/officeDocument/2006/relationships/numbering" Target="/word/numbering.xml" Id="R301ba7b087a84643" /><Relationship Type="http://schemas.openxmlformats.org/officeDocument/2006/relationships/hyperlink" Target="https://meteor.aihw.gov.au/content/584408" TargetMode="External" Id="Rbcf1a5a42fe34dea" /><Relationship Type="http://schemas.openxmlformats.org/officeDocument/2006/relationships/hyperlink" Target="http://www.awma.com.au/publications/2012_AWMA_Pan_Pacific_Guidelines.pdf" TargetMode="External" Id="R962978faa39041c7" /></Relationships>
</file>

<file path=word/_rels/header1.xml.rels>&#65279;<?xml version="1.0" encoding="utf-8"?><Relationships xmlns="http://schemas.openxmlformats.org/package/2006/relationships"><Relationship Type="http://schemas.openxmlformats.org/officeDocument/2006/relationships/image" Target="/media/image.png" Id="R2a9db3f9e2704e0a" /></Relationships>
</file>