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4a2627d17847f7"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4a-Proportion of patients with delirium who have a comprehensive assessment to investigate cause(s) of delirium</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4a-Proportion of patients with delirium who have a comprehensive assessment to investigate cause(s) of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4a-Proportion of patients with delirium who have a comprehensive assessment to investigate cause(s) of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330d9bc8c74e4c">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delirium who have a comprehensive assessment to investigate cause(s) of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Identifying and treating the causes of delirium early is likely to reduce the duration and severity of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daadf3a5753b4f82">
              <w:r>
                <w:rPr>
                  <w:rStyle w:val="Hyperlink"/>
                  <w:b/>
                </w:rPr>
                <w:t xml:space="preserve">delirium</w:t>
              </w:r>
            </w:hyperlink>
            <w:r>
              <w:rPr>
                <w:rStyle w:val="row-content-rich-text"/>
              </w:rPr>
              <w:t xml:space="preserve">  (National Institute for Health and Clinical Excellence 2010; Clinical Epidemiology and Health Service Evaluation Unit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25f81567a941e9">
              <w:r>
                <w:rPr>
                  <w:rStyle w:val="Hyperlink"/>
                </w:rPr>
                <w:t xml:space="preserve">Clinical care standard indicators: delirium</w:t>
              </w:r>
            </w:hyperlink>
          </w:p>
          <w:p>
            <w:pPr>
              <w:spacing w:before="0" w:after="0"/>
            </w:pPr>
            <w:r>
              <w:rPr>
                <w:rStyle w:val="row-content"/>
                <w:color w:val="244061"/>
              </w:rPr>
              <w:t xml:space="preserve">       </w:t>
            </w:r>
            <w:hyperlink w:history="true" r:id="R4ba57622ceeb40e1">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600bfe9b4004c04">
              <w:r>
                <w:rPr>
                  <w:rStyle w:val="Hyperlink"/>
                </w:rPr>
                <w:t xml:space="preserve">Identifying and treating underlying causes</w:t>
              </w:r>
            </w:hyperlink>
          </w:p>
          <w:p>
            <w:pPr>
              <w:spacing w:before="0" w:after="0"/>
            </w:pPr>
            <w:r>
              <w:rPr>
                <w:rStyle w:val="row-content"/>
                <w:color w:val="244061"/>
              </w:rPr>
              <w:t xml:space="preserve">       </w:t>
            </w:r>
            <w:hyperlink w:history="true" r:id="R3832ce6b084c4114">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delirium for whom a comprehensive assessment to investigate the cause(s) of their delirium is undertaken during the hospital stay and is documented in their medical record. The comprehensive assessment must include the following (National Institute for Health and Clinical Excellence 2010; Clinical Epidemiology and Health Service Evaluation Unit 2006; Australian and New Zealand Society for Geriatric Medicine 2012):</w:t>
            </w:r>
          </w:p>
          <w:p>
            <w:pPr>
              <w:pStyle w:val="ListParagraph"/>
              <w:numPr>
                <w:ilvl w:val="0"/>
                <w:numId w:val="2"/>
              </w:numPr>
            </w:pPr>
            <w:r>
              <w:rPr>
                <w:rStyle w:val="row-content-rich-text"/>
              </w:rPr>
              <w:t xml:space="preserve">a medical history — paying close attention to  the patient’s medication history and their pain management needs</w:t>
            </w:r>
          </w:p>
          <w:p>
            <w:pPr>
              <w:pStyle w:val="ListParagraph"/>
              <w:numPr>
                <w:ilvl w:val="0"/>
                <w:numId w:val="2"/>
              </w:numPr>
            </w:pPr>
            <w:r>
              <w:rPr>
                <w:rStyle w:val="row-content-rich-text"/>
              </w:rPr>
              <w:t xml:space="preserve">a physical examination</w:t>
            </w:r>
          </w:p>
          <w:p>
            <w:pPr>
              <w:pStyle w:val="ListParagraph"/>
              <w:numPr>
                <w:ilvl w:val="0"/>
                <w:numId w:val="2"/>
              </w:numPr>
            </w:pPr>
            <w:r>
              <w:rPr>
                <w:rStyle w:val="row-content-rich-text"/>
              </w:rPr>
              <w:t xml:space="preserve">investigations (blood tests, urine tests, etc.), according to the patient’s medical history and physical examination.</w:t>
            </w:r>
          </w:p>
          <w:p>
            <w:pPr>
              <w:spacing w:after="160"/>
            </w:pPr>
            <w:r>
              <w:rPr>
                <w:rStyle w:val="row-content-rich-text"/>
              </w:rPr>
              <w:t xml:space="preserve"> </w:t>
            </w:r>
          </w:p>
          <w:p>
            <w:pPr>
              <w:spacing w:after="160"/>
            </w:pPr>
            <w:r>
              <w:rPr>
                <w:rStyle w:val="row-content-rich-text"/>
              </w:rPr>
              <w:t xml:space="preserve">All patients with delirium are included in both the numerator and the denominator, not only those where </w:t>
            </w:r>
            <w:hyperlink w:history="true" r:id="Rab58b539b4394cc9">
              <w:r>
                <w:rPr>
                  <w:rStyle w:val="Hyperlink"/>
                </w:rPr>
                <w:t xml:space="preserve">Hospital service—care type, code N[N]</w:t>
              </w:r>
            </w:hyperlink>
            <w:r>
              <w:rPr>
                <w:rStyle w:val="row-content-rich-text"/>
              </w:rPr>
              <w:t xml:space="preserve"> = 1 Acute care.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 who have a comprehensive assessment to investigate cause(s) of delirium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and New Zealand Society for Geriatric Medicine 2012. Delirium in older people: position statement 13.</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051e7cfff27442c0">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r>
              <w:rPr>
                <w:rStyle w:val="row-content-rich-text"/>
              </w:rPr>
              <w:t xml:space="preserve">National Institute for Health and Clinical Excellence 2010. Delirium: diagnosis, prevention and management; Clinical guideline 103. London: NICE.</w:t>
            </w:r>
          </w:p>
        </w:tc>
      </w:tr>
    </w:tbl>
    <w:p>
      <w:r>
        <w:br/>
      </w:r>
    </w:p>
    <w:sectPr>
      <w:footerReference xmlns:r="http://schemas.openxmlformats.org/officeDocument/2006/relationships" w:type="default" r:id="Rd991d3e3dfd24f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628103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06ef1779243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91d3e3dfd24fab" /><Relationship Type="http://schemas.openxmlformats.org/officeDocument/2006/relationships/header" Target="/word/header1.xml" Id="Rcc4b12dce0b648b7" /><Relationship Type="http://schemas.openxmlformats.org/officeDocument/2006/relationships/settings" Target="/word/settings.xml" Id="Rf5977e00ede2491a" /><Relationship Type="http://schemas.openxmlformats.org/officeDocument/2006/relationships/styles" Target="/word/styles.xml" Id="R0235fad22f6f4dcb" /><Relationship Type="http://schemas.openxmlformats.org/officeDocument/2006/relationships/hyperlink" Target="https://meteor.aihw.gov.au/RegistrationAuthority/12" TargetMode="External" Id="Raa330d9bc8c74e4c" /><Relationship Type="http://schemas.openxmlformats.org/officeDocument/2006/relationships/hyperlink" Target="https://meteor.aihw.gov.au/content/628579" TargetMode="External" Id="Rdaadf3a5753b4f82" /><Relationship Type="http://schemas.openxmlformats.org/officeDocument/2006/relationships/hyperlink" Target="https://meteor.aihw.gov.au/content/613164" TargetMode="External" Id="Rc025f81567a941e9" /><Relationship Type="http://schemas.openxmlformats.org/officeDocument/2006/relationships/hyperlink" Target="https://meteor.aihw.gov.au/RegistrationAuthority/12" TargetMode="External" Id="R4ba57622ceeb40e1" /><Relationship Type="http://schemas.openxmlformats.org/officeDocument/2006/relationships/hyperlink" Target="https://meteor.aihw.gov.au/content/624402" TargetMode="External" Id="R4600bfe9b4004c04" /><Relationship Type="http://schemas.openxmlformats.org/officeDocument/2006/relationships/hyperlink" Target="https://meteor.aihw.gov.au/RegistrationAuthority/12" TargetMode="External" Id="R3832ce6b084c4114" /><Relationship Type="http://schemas.openxmlformats.org/officeDocument/2006/relationships/numbering" Target="/word/numbering.xml" Id="R402ee69f9e054c45" /><Relationship Type="http://schemas.openxmlformats.org/officeDocument/2006/relationships/hyperlink" Target="https://meteor.aihw.gov.au/content/584408" TargetMode="External" Id="Rab58b539b4394cc9" /><Relationship Type="http://schemas.openxmlformats.org/officeDocument/2006/relationships/hyperlink" Target="http://docs.health.vic.gov.au/docs/doc/A9F4D074829CD75ACA25785200120044/$FILE/delirium-cpg.pdf" TargetMode="External" Id="R051e7cfff27442c0" /></Relationships>
</file>

<file path=word/_rels/header1.xml.rels>&#65279;<?xml version="1.0" encoding="utf-8"?><Relationships xmlns="http://schemas.openxmlformats.org/package/2006/relationships"><Relationship Type="http://schemas.openxmlformats.org/officeDocument/2006/relationships/image" Target="/media/image.png" Id="R2a006ef17792436b" /></Relationships>
</file>