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1bc52d1e044dc"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4b-Proportion of patients with delirium who receive a set of interventions to treat the causes of delirium, based on a comprehensive assessment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4b-Proportion of patients with delirium who receive a set of interventions to treat the causes of delirium, based on a comprehensive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delirium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7e156520a458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ce889d76469d45b4">
              <w:r>
                <w:rPr>
                  <w:rStyle w:val="Hyperlink"/>
                  <w:b/>
                </w:rPr>
                <w:t xml:space="preserve">delirium</w:t>
              </w:r>
            </w:hyperlink>
            <w:r>
              <w:rPr>
                <w:rStyle w:val="row-content-rich-text"/>
              </w:rPr>
              <w:t xml:space="preserve">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risk factors consistently associated with the incidence of delirium have been identified in the literature (Australian and New Zealand Society for Geriatric Medicine 2012). Some of these may be modifiable, for example, medical illness related factors or laboratory abnormalities such as low albumin and polypharmacy. Identifying underlying causes of delirium can help to target interventions (Ahmed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f39e8baf8146c9">
              <w:r>
                <w:rPr>
                  <w:rStyle w:val="Hyperlink"/>
                </w:rPr>
                <w:t xml:space="preserve">Clinical care standard indicators: delirium</w:t>
              </w:r>
            </w:hyperlink>
          </w:p>
          <w:p>
            <w:pPr>
              <w:spacing w:before="0" w:after="0"/>
            </w:pPr>
            <w:r>
              <w:rPr>
                <w:rStyle w:val="row-content"/>
                <w:color w:val="244061"/>
              </w:rPr>
              <w:t xml:space="preserve">       </w:t>
            </w:r>
            <w:hyperlink w:history="true" r:id="Rfff0ca05bd9b499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81e83c58e74516">
              <w:r>
                <w:rPr>
                  <w:rStyle w:val="Hyperlink"/>
                </w:rPr>
                <w:t xml:space="preserve">Identifying and treating underlying causes</w:t>
              </w:r>
            </w:hyperlink>
          </w:p>
          <w:p>
            <w:pPr>
              <w:spacing w:before="0" w:after="0"/>
            </w:pPr>
            <w:r>
              <w:rPr>
                <w:rStyle w:val="row-content"/>
                <w:color w:val="244061"/>
              </w:rPr>
              <w:t xml:space="preserve">       </w:t>
            </w:r>
            <w:hyperlink w:history="true" r:id="Rdd02ba424b244ca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comprehensive assessment of the causes of delirium and the tailored interventions must be documented in the patient's medical record.</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cea91bd844f5495c">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 a set of tailored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w:t>
            </w:r>
            <w:r>
              <w:rPr>
                <w:rStyle w:val="row-content-rich-text"/>
                <w:i/>
              </w:rPr>
              <w:t xml:space="preserve">The Ontario senior friendly hospital strategy delirium and functional decline indicators</w:t>
            </w:r>
            <w:r>
              <w:rPr>
                <w:rStyle w:val="row-content-rich-text"/>
              </w:rPr>
              <w:t xml:space="preserve">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Ahmed S, Leurent B &amp; Sampson EL 2014. Risk factors for incident delirium among older people in acute hospital medical units: a systematic review and meta-analysis. Age and Ageing 43(3):326-33.</w:t>
            </w:r>
          </w:p>
          <w:p>
            <w:pPr>
              <w:spacing w:after="160"/>
            </w:pPr>
            <w:r>
              <w:rPr>
                <w:rStyle w:val="row-content-rich-text"/>
              </w:rPr>
              <w:t xml:space="preserve">Australian and New Zealand Society for Geriatric Medicine 2012. Delirium in older people: position statement 13.</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4d2d7442d628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037d3ca15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d7442d6284e69" /><Relationship Type="http://schemas.openxmlformats.org/officeDocument/2006/relationships/header" Target="/word/header1.xml" Id="R8db460adf7bc4ac4" /><Relationship Type="http://schemas.openxmlformats.org/officeDocument/2006/relationships/settings" Target="/word/settings.xml" Id="R8c127fee442d457d" /><Relationship Type="http://schemas.openxmlformats.org/officeDocument/2006/relationships/styles" Target="/word/styles.xml" Id="R960c878953fc4464" /><Relationship Type="http://schemas.openxmlformats.org/officeDocument/2006/relationships/hyperlink" Target="https://meteor.aihw.gov.au/RegistrationAuthority/12" TargetMode="External" Id="R1c77e156520a4589" /><Relationship Type="http://schemas.openxmlformats.org/officeDocument/2006/relationships/hyperlink" Target="https://meteor.aihw.gov.au/content/628579" TargetMode="External" Id="Rce889d76469d45b4" /><Relationship Type="http://schemas.openxmlformats.org/officeDocument/2006/relationships/hyperlink" Target="https://meteor.aihw.gov.au/content/613164" TargetMode="External" Id="Reef39e8baf8146c9" /><Relationship Type="http://schemas.openxmlformats.org/officeDocument/2006/relationships/hyperlink" Target="https://meteor.aihw.gov.au/RegistrationAuthority/12" TargetMode="External" Id="Rfff0ca05bd9b4994" /><Relationship Type="http://schemas.openxmlformats.org/officeDocument/2006/relationships/hyperlink" Target="https://meteor.aihw.gov.au/content/624402" TargetMode="External" Id="R4681e83c58e74516" /><Relationship Type="http://schemas.openxmlformats.org/officeDocument/2006/relationships/hyperlink" Target="https://meteor.aihw.gov.au/RegistrationAuthority/12" TargetMode="External" Id="Rdd02ba424b244ca5" /><Relationship Type="http://schemas.openxmlformats.org/officeDocument/2006/relationships/hyperlink" Target="https://meteor.aihw.gov.au/content/584408" TargetMode="External" Id="Rcea91bd844f5495c" /></Relationships>
</file>

<file path=word/_rels/header1.xml.rels>&#65279;<?xml version="1.0" encoding="utf-8"?><Relationships xmlns="http://schemas.openxmlformats.org/package/2006/relationships"><Relationship Type="http://schemas.openxmlformats.org/officeDocument/2006/relationships/image" Target="/media/image.png" Id="R388037d3ca154e5d" /></Relationships>
</file>