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39fe1d3184918"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3a-Evidence of local arrangements for implementing interventions to prevent delirium for at 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3a-Evidence of local arrangements for implementing interventions to prevent delirium for at 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3a-Evidence of local arrangements for implementing interventions to prevent delirium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57c3da10743c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implementing interventions to prevent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689866ec0dbe403c">
              <w:r>
                <w:rPr>
                  <w:rStyle w:val="Hyperlink"/>
                  <w:b/>
                </w:rPr>
                <w:t xml:space="preserve">delirium</w:t>
              </w:r>
            </w:hyperlink>
            <w:r>
              <w:rPr>
                <w:rStyle w:val="row-content-rich-text"/>
              </w:rPr>
              <w:t xml:space="preserve">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Delirium may be prevented in more than a third of patients (Hshieh et al. 2015). Multicomponent interventions reduce the incidence of delirium and may prevent complications, such as falls (Hshieh et al. 2015).</w:t>
            </w:r>
            <w:r>
              <w:rPr>
                <w:rStyle w:val="row-content-rich-text"/>
                <w:vertAlign w:val="superscript"/>
              </w:rPr>
              <w:t xml:space="preserve"> </w:t>
            </w:r>
            <w:r>
              <w:rPr>
                <w:rStyle w:val="row-content-rich-text"/>
              </w:rPr>
              <w:t xml:space="preserve">Regular monitoring of patients at risk of delirium for changes in behaviour, cognition and physical condition can assist the prompt detection of delirium (Witlox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1366725911412e">
              <w:r>
                <w:rPr>
                  <w:rStyle w:val="Hyperlink"/>
                </w:rPr>
                <w:t xml:space="preserve">Clinical care standard indicators: delirium</w:t>
              </w:r>
            </w:hyperlink>
          </w:p>
          <w:p>
            <w:pPr>
              <w:pStyle w:val="registration-status"/>
              <w:spacing w:before="0" w:after="0"/>
            </w:pPr>
            <w:hyperlink w:history="true" r:id="R23c382dedc6941f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db86993bba4a22">
              <w:r>
                <w:rPr>
                  <w:rStyle w:val="Hyperlink"/>
                </w:rPr>
                <w:t xml:space="preserve">Interventions to prevent delirium</w:t>
              </w:r>
            </w:hyperlink>
          </w:p>
          <w:p>
            <w:pPr>
              <w:pStyle w:val="registration-status"/>
              <w:spacing w:before="0" w:after="0"/>
            </w:pPr>
            <w:hyperlink w:history="true" r:id="R9826063360b447b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implementing interventions for patients identified as being at risk of developing delirium.</w:t>
            </w:r>
          </w:p>
          <w:p>
            <w:pPr>
              <w:spacing w:after="160"/>
            </w:pPr>
            <w:r>
              <w:rPr>
                <w:rStyle w:val="row-content-rich-text"/>
              </w:rPr>
              <w:t xml:space="preserve">Interventions found to be effective in preventing delirium that may be documented in the local protocol include (Witlox et al. 2010; Clinical Epidemiology and Health Service Evaluation Unit 2006):</w:t>
            </w:r>
          </w:p>
          <w:p>
            <w:pPr>
              <w:pStyle w:val="ListParagraph"/>
              <w:numPr>
                <w:ilvl w:val="0"/>
                <w:numId w:val="2"/>
              </w:numPr>
            </w:pPr>
            <w:r>
              <w:rPr>
                <w:rStyle w:val="row-content-rich-text"/>
              </w:rPr>
              <w:t xml:space="preserve">medication review</w:t>
            </w:r>
          </w:p>
          <w:p>
            <w:pPr>
              <w:pStyle w:val="ListParagraph"/>
              <w:numPr>
                <w:ilvl w:val="0"/>
                <w:numId w:val="2"/>
              </w:numPr>
            </w:pPr>
            <w:r>
              <w:rPr>
                <w:rStyle w:val="row-content-rich-text"/>
              </w:rPr>
              <w:t xml:space="preserve">correction of dehydration/malnutrition/constipation</w:t>
            </w:r>
          </w:p>
          <w:p>
            <w:pPr>
              <w:pStyle w:val="ListParagraph"/>
              <w:numPr>
                <w:ilvl w:val="0"/>
                <w:numId w:val="2"/>
              </w:numPr>
            </w:pPr>
            <w:r>
              <w:rPr>
                <w:rStyle w:val="row-content-rich-text"/>
              </w:rPr>
              <w:t xml:space="preserve">mobility activities</w:t>
            </w:r>
          </w:p>
          <w:p>
            <w:pPr>
              <w:pStyle w:val="ListParagraph"/>
              <w:numPr>
                <w:ilvl w:val="0"/>
                <w:numId w:val="2"/>
              </w:numPr>
            </w:pPr>
            <w:r>
              <w:rPr>
                <w:rStyle w:val="row-content-rich-text"/>
              </w:rPr>
              <w:t xml:space="preserve">oxygen therapy</w:t>
            </w:r>
          </w:p>
          <w:p>
            <w:pPr>
              <w:pStyle w:val="ListParagraph"/>
              <w:numPr>
                <w:ilvl w:val="0"/>
                <w:numId w:val="2"/>
              </w:numPr>
            </w:pPr>
            <w:r>
              <w:rPr>
                <w:rStyle w:val="row-content-rich-text"/>
              </w:rPr>
              <w:t xml:space="preserve">pain assessment and management</w:t>
            </w:r>
          </w:p>
          <w:p>
            <w:pPr>
              <w:pStyle w:val="ListParagraph"/>
              <w:numPr>
                <w:ilvl w:val="0"/>
                <w:numId w:val="2"/>
              </w:numPr>
            </w:pPr>
            <w:r>
              <w:rPr>
                <w:rStyle w:val="row-content-rich-text"/>
              </w:rPr>
              <w:t xml:space="preserve">regular reorientation and reassurance</w:t>
            </w:r>
          </w:p>
          <w:p>
            <w:pPr>
              <w:pStyle w:val="ListParagraph"/>
              <w:numPr>
                <w:ilvl w:val="0"/>
                <w:numId w:val="2"/>
              </w:numPr>
            </w:pPr>
            <w:r>
              <w:rPr>
                <w:rStyle w:val="row-content-rich-text"/>
              </w:rPr>
              <w:t xml:space="preserve">activities for stimulating cognition</w:t>
            </w:r>
          </w:p>
          <w:p>
            <w:pPr>
              <w:pStyle w:val="ListParagraph"/>
              <w:numPr>
                <w:ilvl w:val="0"/>
                <w:numId w:val="2"/>
              </w:numPr>
            </w:pPr>
            <w:r>
              <w:rPr>
                <w:rStyle w:val="row-content-rich-text"/>
              </w:rPr>
              <w:t xml:space="preserve">non-drug measures to help promote sleep</w:t>
            </w:r>
          </w:p>
          <w:p>
            <w:pPr>
              <w:pStyle w:val="ListParagraph"/>
              <w:numPr>
                <w:ilvl w:val="0"/>
                <w:numId w:val="2"/>
              </w:numPr>
            </w:pPr>
            <w:r>
              <w:rPr>
                <w:rStyle w:val="row-content-rich-text"/>
              </w:rPr>
              <w:t xml:space="preserve">assistance for patients who usually wear hearing or visual aids.</w:t>
            </w:r>
          </w:p>
          <w:p>
            <w:pPr>
              <w:spacing w:after="160"/>
            </w:pPr>
            <w:r>
              <w:rPr>
                <w:rStyle w:val="row-content-rich-text"/>
              </w:rPr>
              <w:t xml:space="preserve">These interventions should be tailored to individuals depending on the individual’s clinical risk factors and the setting (Clinical Epidemiology and Health Service Evaluation Unit 2006; National Institute for Health and Clinical Excellence 2010). The local arrangements should provide for tailored interventions. They must include a process for documenting the interventions and discussing with the patient and/or their carer the interventions being put in place and encouraging carers to be involved (for example, providing orientation and reassurance to the patient).</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5db066087dd14fc9">
              <w:r>
                <w:rPr>
                  <w:rStyle w:val="Hyperlink"/>
                </w:rPr>
                <w:t xml:space="preserve">Hospital service—care type, code N[N]</w:t>
              </w:r>
            </w:hyperlink>
            <w:r>
              <w:rPr>
                <w:rStyle w:val="row-content-rich-text"/>
              </w:rPr>
              <w:t xml:space="preserve"> = 1 Acute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Delirium NICE Quality Standard 63 </w:t>
            </w:r>
            <w:r>
              <w:rPr>
                <w:rStyle w:val="row-content-rich-text"/>
              </w:rPr>
              <w:t xml:space="preserve">(National Institute for Health and Care Excellence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0b2b88ce3590460d">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Hshieh TT et al. 2015. Effectiveness of multicomponent nonpharmacological delirium interventions: a meta-analysis. Journal of the American Medical Association Internal Medicine. 175(4):512-20.</w:t>
            </w:r>
          </w:p>
          <w:p>
            <w:pPr>
              <w:spacing w:after="160"/>
            </w:pPr>
            <w:r>
              <w:rPr>
                <w:rStyle w:val="row-content-rich-text"/>
              </w:rPr>
              <w:t xml:space="preserve">National Institute for Health and Care Excellence 2014. Delirium NICE Quality Standard 63. United Kingdom: NICE.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Witlox J, Eurelings LS, de Jonghe JF, Kalisvaart KJ, Eikelenboom P &amp; van Gool WA 2010. Delirium in elderly patients and the risk of postdischarge mortality, institutionalization, and dementia: a meta-analysis. Journal of the American Medical Association 304(4):443-51.</w:t>
            </w:r>
          </w:p>
        </w:tc>
      </w:tr>
    </w:tbl>
    <w:p>
      <w:r>
        <w:br/>
      </w:r>
    </w:p>
    <w:sectPr>
      <w:footerReference xmlns:r="http://schemas.openxmlformats.org/officeDocument/2006/relationships" w:type="default" r:id="R8bdef3e8f5ec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628086</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f0a6e1324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ef3e8f5ec43c0" /><Relationship Type="http://schemas.openxmlformats.org/officeDocument/2006/relationships/header" Target="/word/header1.xml" Id="R7838bdce296d4814" /><Relationship Type="http://schemas.openxmlformats.org/officeDocument/2006/relationships/settings" Target="/word/settings.xml" Id="R952c21c299fe4f2c" /><Relationship Type="http://schemas.openxmlformats.org/officeDocument/2006/relationships/styles" Target="/word/styles.xml" Id="R1757352afe3b4be8" /><Relationship Type="http://schemas.openxmlformats.org/officeDocument/2006/relationships/numbering" Target="/word/numbering.xml" Id="R2ce80029cf254b8f" /><Relationship Type="http://schemas.openxmlformats.org/officeDocument/2006/relationships/hyperlink" Target="https://meteor.aihw.gov.au/RegistrationAuthority/12" TargetMode="External" Id="R2e457c3da10743c9" /><Relationship Type="http://schemas.openxmlformats.org/officeDocument/2006/relationships/hyperlink" Target="https://meteor.aihw.gov.au/content/628579" TargetMode="External" Id="R689866ec0dbe403c" /><Relationship Type="http://schemas.openxmlformats.org/officeDocument/2006/relationships/hyperlink" Target="https://meteor.aihw.gov.au/content/613164" TargetMode="External" Id="Rab1366725911412e" /><Relationship Type="http://schemas.openxmlformats.org/officeDocument/2006/relationships/hyperlink" Target="https://meteor.aihw.gov.au/RegistrationAuthority/12" TargetMode="External" Id="R23c382dedc6941fc" /><Relationship Type="http://schemas.openxmlformats.org/officeDocument/2006/relationships/hyperlink" Target="https://meteor.aihw.gov.au/content/624397" TargetMode="External" Id="Readb86993bba4a22" /><Relationship Type="http://schemas.openxmlformats.org/officeDocument/2006/relationships/hyperlink" Target="https://meteor.aihw.gov.au/RegistrationAuthority/12" TargetMode="External" Id="R9826063360b447b1" /><Relationship Type="http://schemas.openxmlformats.org/officeDocument/2006/relationships/hyperlink" Target="https://meteor.aihw.gov.au/content/584408" TargetMode="External" Id="R5db066087dd14fc9" /><Relationship Type="http://schemas.openxmlformats.org/officeDocument/2006/relationships/hyperlink" Target="http://docs.health.vic.gov.au/docs/doc/A9F4D074829CD75ACA25785200120044/$FILE/delirium-cpg.pdf" TargetMode="External" Id="R0b2b88ce3590460d" /></Relationships>
</file>

<file path=word/_rels/header1.xml.rels>&#65279;<?xml version="1.0" encoding="utf-8"?><Relationships xmlns="http://schemas.openxmlformats.org/package/2006/relationships"><Relationship Type="http://schemas.openxmlformats.org/officeDocument/2006/relationships/image" Target="/media/image.png" Id="R7a1f0a6e13244717" /></Relationships>
</file>