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907e25335a499b"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1a-Evidence of local arrangements for cognitive screening of patients presenting to hospital with one or more key risk factors for delirium</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1a-Evidence of local arrangements for cognitive screening of patients presenting to hospital with one or more key risk factors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1a-Evidence of local arrangements for cognitive screening of patients presenting to hospital with one or more key risk factors for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62f17cd4d46e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cognitive screening of patients presenting to hospital with one or more key risk factors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2269d6b0bfdc4354">
              <w:r>
                <w:rPr>
                  <w:rStyle w:val="Hyperlink"/>
                  <w:b/>
                </w:rPr>
                <w:t xml:space="preserve">delirium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Cognitive screening on presentation helps identify patients who should be assessed for delirium and is useful for monitoring delirium onset during a hospital stay (Clinical Epidemiology and Health Service Evaluation Unit 2006; O'Keeffe et al. 2005; Jitapunkul et al.1992). Patients who have cognitive impairment or who have had a recent change in behaviour or thinking may have delirium and need to be assessed for it (National Institute for Health and Clinical Excellence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32a6384c1e4bd0">
              <w:r>
                <w:rPr>
                  <w:rStyle w:val="Hyperlink"/>
                </w:rPr>
                <w:t xml:space="preserve">Clinical care standard indicators: delirium</w:t>
              </w:r>
            </w:hyperlink>
          </w:p>
          <w:p>
            <w:pPr>
              <w:spacing w:before="0" w:after="0"/>
            </w:pPr>
            <w:r>
              <w:rPr>
                <w:rStyle w:val="row-content"/>
                <w:color w:val="244061"/>
              </w:rPr>
              <w:t xml:space="preserve">       </w:t>
            </w:r>
            <w:hyperlink w:history="true" r:id="R48e00dffbe47412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c6dfdb90e54dcd">
              <w:r>
                <w:rPr>
                  <w:rStyle w:val="Hyperlink"/>
                </w:rPr>
                <w:t xml:space="preserve">Early screening</w:t>
              </w:r>
            </w:hyperlink>
          </w:p>
          <w:p>
            <w:pPr>
              <w:spacing w:before="0" w:after="0"/>
            </w:pPr>
            <w:r>
              <w:rPr>
                <w:rStyle w:val="row-content"/>
                <w:color w:val="244061"/>
              </w:rPr>
              <w:t xml:space="preserve">       </w:t>
            </w:r>
            <w:hyperlink w:history="true" r:id="R0a3693fa56f74e9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cognitive screening of patients presenting to hospital with one or more key risk factors for delirium. Key risk factors for delirium include (National Institute for Health and Clinical Excellence 2010):</w:t>
            </w:r>
          </w:p>
          <w:p>
            <w:pPr>
              <w:pStyle w:val="ListParagraph"/>
              <w:numPr>
                <w:ilvl w:val="0"/>
                <w:numId w:val="2"/>
              </w:numPr>
            </w:pPr>
            <w:r>
              <w:rPr>
                <w:rStyle w:val="row-content-rich-text"/>
              </w:rPr>
              <w:t xml:space="preserve">age ≥ 65 years ( ≥ 45 years for Aboriginal and Torres Strait Islander peoples (ACI 2014))</w:t>
            </w:r>
          </w:p>
          <w:p>
            <w:pPr>
              <w:pStyle w:val="ListParagraph"/>
              <w:numPr>
                <w:ilvl w:val="0"/>
                <w:numId w:val="2"/>
              </w:numPr>
            </w:pPr>
            <w:r>
              <w:rPr>
                <w:rStyle w:val="row-content-rich-text"/>
              </w:rPr>
              <w:t xml:space="preserve">known cognitive impairment/dementia</w:t>
            </w:r>
          </w:p>
          <w:p>
            <w:pPr>
              <w:pStyle w:val="ListParagraph"/>
              <w:numPr>
                <w:ilvl w:val="0"/>
                <w:numId w:val="2"/>
              </w:numPr>
            </w:pPr>
            <w:r>
              <w:rPr>
                <w:rStyle w:val="row-content-rich-text"/>
              </w:rPr>
              <w:t xml:space="preserve">severe medical illness</w:t>
            </w:r>
          </w:p>
          <w:p>
            <w:pPr>
              <w:pStyle w:val="ListParagraph"/>
              <w:numPr>
                <w:ilvl w:val="0"/>
                <w:numId w:val="2"/>
              </w:numPr>
            </w:pPr>
            <w:r>
              <w:rPr>
                <w:rStyle w:val="row-content-rich-text"/>
              </w:rPr>
              <w:t xml:space="preserve">current hip fracture.</w:t>
            </w:r>
          </w:p>
          <w:p>
            <w:pPr>
              <w:spacing w:after="160"/>
            </w:pPr>
            <w:r>
              <w:rPr>
                <w:rStyle w:val="row-content-rich-text"/>
              </w:rPr>
              <w:t xml:space="preserve">Cognitive screening should be based on the use of a validated test. There are a range of validated cognitive function tests available (O'Keeffe et al. 2005). Examples include:</w:t>
            </w:r>
          </w:p>
          <w:p>
            <w:pPr>
              <w:pStyle w:val="ListParagraph"/>
              <w:numPr>
                <w:ilvl w:val="0"/>
                <w:numId w:val="3"/>
              </w:numPr>
            </w:pPr>
            <w:r>
              <w:rPr>
                <w:rStyle w:val="row-content-rich-text"/>
              </w:rPr>
              <w:t xml:space="preserve">Abbreviated Mental Test Score (AMTS) (Hodkinson 1972)</w:t>
            </w:r>
          </w:p>
          <w:p>
            <w:pPr>
              <w:pStyle w:val="ListParagraph"/>
              <w:numPr>
                <w:ilvl w:val="0"/>
                <w:numId w:val="3"/>
              </w:numPr>
            </w:pPr>
            <w:r>
              <w:rPr>
                <w:rStyle w:val="row-content-rich-text"/>
              </w:rPr>
              <w:t xml:space="preserve">4AT test: screening instrument for cognitive impairment and delirium (Bellelli et al. 2014)</w:t>
            </w:r>
          </w:p>
          <w:p>
            <w:pPr>
              <w:pStyle w:val="ListParagraph"/>
              <w:numPr>
                <w:ilvl w:val="0"/>
                <w:numId w:val="3"/>
              </w:numPr>
            </w:pPr>
            <w:r>
              <w:rPr>
                <w:rStyle w:val="row-content-rich-text"/>
              </w:rPr>
              <w:t xml:space="preserve">Standardised Mini-Mental State Examination (SMMSE) (Molloy &amp; Standish 1997).</w:t>
            </w:r>
          </w:p>
          <w:p>
            <w:pPr>
              <w:spacing w:after="160"/>
            </w:pPr>
            <w:r>
              <w:rPr>
                <w:rStyle w:val="row-content-rich-text"/>
              </w:rPr>
              <w:t xml:space="preserve">Other tools may be more appropriate for people from culturally and linguistically diverse groups, such as the Rowland Universal Dementia Assessment Scale (RUDAS) (Storey et al. 2004)</w:t>
            </w:r>
            <w:r>
              <w:rPr>
                <w:rStyle w:val="row-content-rich-text"/>
                <w:vertAlign w:val="superscript"/>
              </w:rPr>
              <w:t xml:space="preserve"> </w:t>
            </w:r>
            <w:r>
              <w:rPr>
                <w:rStyle w:val="row-content-rich-text"/>
              </w:rPr>
              <w:t xml:space="preserve">and the Kimberly Indigenous Cognitive Assessment (KICA) Tools (LoGiudice et al. 2006).</w:t>
            </w:r>
          </w:p>
          <w:p>
            <w:pPr>
              <w:spacing w:after="160"/>
            </w:pPr>
            <w:r>
              <w:rPr>
                <w:rStyle w:val="row-content-rich-text"/>
              </w:rPr>
              <w:t xml:space="preserve">The documentation may be in the form of:</w:t>
            </w:r>
          </w:p>
          <w:p>
            <w:pPr>
              <w:pStyle w:val="ListParagraph"/>
              <w:numPr>
                <w:ilvl w:val="0"/>
                <w:numId w:val="4"/>
              </w:numPr>
            </w:pPr>
            <w:r>
              <w:rPr>
                <w:rStyle w:val="row-content-rich-text"/>
              </w:rPr>
              <w:t xml:space="preserve">clinical guidelines</w:t>
            </w:r>
          </w:p>
          <w:p>
            <w:pPr>
              <w:pStyle w:val="ListParagraph"/>
              <w:numPr>
                <w:ilvl w:val="0"/>
                <w:numId w:val="4"/>
              </w:numPr>
            </w:pPr>
            <w:r>
              <w:rPr>
                <w:rStyle w:val="row-content-rich-text"/>
              </w:rPr>
              <w:t xml:space="preserve">protocols</w:t>
            </w:r>
          </w:p>
          <w:p>
            <w:pPr>
              <w:pStyle w:val="ListParagraph"/>
              <w:numPr>
                <w:ilvl w:val="0"/>
                <w:numId w:val="4"/>
              </w:numPr>
            </w:pPr>
            <w:r>
              <w:rPr>
                <w:rStyle w:val="row-content-rich-text"/>
              </w:rPr>
              <w:t xml:space="preserve">a clinical pathway included as part of the patient’s medical notes/record.</w:t>
            </w:r>
          </w:p>
          <w:p>
            <w:pPr/>
            <w:r>
              <w:rPr>
                <w:rStyle w:val="row-content-rich-text"/>
              </w:rPr>
              <w:t xml:space="preserve">The hospital should specify the test that it uses for cognitive screening in its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w:t>
            </w:r>
            <w:r>
              <w:rPr>
                <w:rStyle w:val="row-content-rich-text"/>
              </w:rPr>
              <w:t xml:space="preserve">ersons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Bellelli G et al. 2014. Validation of the 4AT, a new instrument for rapid delirium screening: a study in 234 hospitalised older people. Age and Ageing 43(4):496-502.</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b9dea0f143204b35">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Jitapunkul S, Pillay I &amp; Ebrahim S 1992. Delirium in newly admitted elderly patients: a prospective study. The Quarterly Journal of Medicine 83(300):307-14.</w:t>
            </w:r>
          </w:p>
          <w:p>
            <w:pPr>
              <w:spacing w:after="160"/>
            </w:pPr>
            <w:r>
              <w:rPr>
                <w:rStyle w:val="row-content-rich-text"/>
              </w:rPr>
              <w:t xml:space="preserve">LoGiudice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National Institute for Health and Clinical Excellence 2010. Delirium: diagnosis, prevention and management; Clinical guideline 103. London: NICE.</w:t>
            </w:r>
          </w:p>
          <w:p>
            <w:pPr>
              <w:spacing w:after="160"/>
            </w:pPr>
            <w:r>
              <w:rPr>
                <w:rStyle w:val="row-content-rich-text"/>
              </w:rPr>
              <w:t xml:space="preserve">O'Keeffe ST, Mulkerrin EC, Nayeem K, Varughese M &amp; Pillay I 2005. Use of serial Mini-Mental State Examinations to diagnose and monitor delirium in elderly hospital patients. Journal of the American Geriatrics Society 53(5):867-70.</w:t>
            </w:r>
          </w:p>
          <w:p>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tc>
      </w:tr>
    </w:tbl>
    <w:p>
      <w:r>
        <w:br/>
      </w:r>
    </w:p>
    <w:sectPr>
      <w:footerReference xmlns:r="http://schemas.openxmlformats.org/officeDocument/2006/relationships" w:type="default" r:id="Rc77a96f49161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627955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4b0153151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a96f4916146e6" /><Relationship Type="http://schemas.openxmlformats.org/officeDocument/2006/relationships/header" Target="/word/header1.xml" Id="R8d196070a69a4b87" /><Relationship Type="http://schemas.openxmlformats.org/officeDocument/2006/relationships/settings" Target="/word/settings.xml" Id="R37a67cfa06674f64" /><Relationship Type="http://schemas.openxmlformats.org/officeDocument/2006/relationships/styles" Target="/word/styles.xml" Id="R7ee8ff6851114f78" /><Relationship Type="http://schemas.openxmlformats.org/officeDocument/2006/relationships/hyperlink" Target="https://meteor.aihw.gov.au/RegistrationAuthority/12" TargetMode="External" Id="Re1862f17cd4d46e0" /><Relationship Type="http://schemas.openxmlformats.org/officeDocument/2006/relationships/hyperlink" Target="https://meteor.aihw.gov.au/content/628579" TargetMode="External" Id="R2269d6b0bfdc4354" /><Relationship Type="http://schemas.openxmlformats.org/officeDocument/2006/relationships/hyperlink" Target="https://meteor.aihw.gov.au/content/613164" TargetMode="External" Id="R6532a6384c1e4bd0" /><Relationship Type="http://schemas.openxmlformats.org/officeDocument/2006/relationships/hyperlink" Target="https://meteor.aihw.gov.au/RegistrationAuthority/12" TargetMode="External" Id="R48e00dffbe474126" /><Relationship Type="http://schemas.openxmlformats.org/officeDocument/2006/relationships/hyperlink" Target="https://meteor.aihw.gov.au/content/624393" TargetMode="External" Id="R35c6dfdb90e54dcd" /><Relationship Type="http://schemas.openxmlformats.org/officeDocument/2006/relationships/hyperlink" Target="https://meteor.aihw.gov.au/RegistrationAuthority/12" TargetMode="External" Id="R0a3693fa56f74e92" /><Relationship Type="http://schemas.openxmlformats.org/officeDocument/2006/relationships/numbering" Target="/word/numbering.xml" Id="R9e40bc396fbe49f1" /><Relationship Type="http://schemas.openxmlformats.org/officeDocument/2006/relationships/hyperlink" Target="http://docs.health.vic.gov.au/docs/doc/A9F4D074829CD75ACA25785200120044/$FILE/delirium-cpg.pdf" TargetMode="External" Id="Rb9dea0f143204b35" /></Relationships>
</file>

<file path=word/_rels/header1.xml.rels>&#65279;<?xml version="1.0" encoding="utf-8"?><Relationships xmlns="http://schemas.openxmlformats.org/package/2006/relationships"><Relationship Type="http://schemas.openxmlformats.org/officeDocument/2006/relationships/image" Target="/media/image.png" Id="R8734b01531514302" /></Relationships>
</file>