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b74420f3be423c"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1a-Evidence of local arrangements for cognitive screening of patients presenting to hospital with one or more key risk factors for delirium</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1a-Evidence of local arrangements for cognitive screening of patients presenting to hospital with one or more key risk factors for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1a-Evidence of local arrangements for cognitive screening of patients presenting to hospital with one or more key risk factors for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ebdd428ff4ab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cognitive screening of patients presenting to hospital with one or more key risk factors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2019f95805d347b3">
              <w:r>
                <w:rPr>
                  <w:rStyle w:val="Hyperlink"/>
                  <w:b/>
                </w:rPr>
                <w:t xml:space="preserve">delirium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Cognitive screening on presentation helps identify patients who should be assessed for delirium and is useful for monitoring delirium onset during a hospital stay (Clinical Epidemiology and Health Service Evaluation Unit 2006; O'Keeffe et al. 2005; Jitapunkul et al.1992). Patients who have cognitive impairment or who have had a recent change in behaviour or thinking may have delirium and need to be assessed for it (National Institute for Health and Clinical Excellence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d16e38e3be4c8d">
              <w:r>
                <w:rPr>
                  <w:rStyle w:val="Hyperlink"/>
                </w:rPr>
                <w:t xml:space="preserve">Clinical care standard indicators: delirium</w:t>
              </w:r>
            </w:hyperlink>
          </w:p>
          <w:p>
            <w:pPr>
              <w:spacing w:before="0" w:after="0"/>
            </w:pPr>
            <w:r>
              <w:rPr>
                <w:rStyle w:val="row-content"/>
                <w:color w:val="244061"/>
              </w:rPr>
              <w:t xml:space="preserve">       </w:t>
            </w:r>
            <w:hyperlink w:history="true" r:id="R9b27dbbc8e9a4e7f">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f105e248de4416">
              <w:r>
                <w:rPr>
                  <w:rStyle w:val="Hyperlink"/>
                </w:rPr>
                <w:t xml:space="preserve">Early screening</w:t>
              </w:r>
            </w:hyperlink>
          </w:p>
          <w:p>
            <w:pPr>
              <w:spacing w:before="0" w:after="0"/>
            </w:pPr>
            <w:r>
              <w:rPr>
                <w:rStyle w:val="row-content"/>
                <w:color w:val="244061"/>
              </w:rPr>
              <w:t xml:space="preserve">       </w:t>
            </w:r>
            <w:hyperlink w:history="true" r:id="R34ae7c702f2c467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cognitive screening of patients presenting to hospital with one or more key risk factors for delirium. Key risk factors for delirium include (National Institute for Health and Clinical Excellence 2010):</w:t>
            </w:r>
          </w:p>
          <w:p>
            <w:pPr>
              <w:pStyle w:val="ListParagraph"/>
              <w:numPr>
                <w:ilvl w:val="0"/>
                <w:numId w:val="2"/>
              </w:numPr>
            </w:pPr>
            <w:r>
              <w:rPr>
                <w:rStyle w:val="row-content-rich-text"/>
              </w:rPr>
              <w:t xml:space="preserve">age ≥ 65 years ( ≥ 45 years for Aboriginal and Torres Strait Islander peoples (ACI 2014))</w:t>
            </w:r>
          </w:p>
          <w:p>
            <w:pPr>
              <w:pStyle w:val="ListParagraph"/>
              <w:numPr>
                <w:ilvl w:val="0"/>
                <w:numId w:val="2"/>
              </w:numPr>
            </w:pPr>
            <w:r>
              <w:rPr>
                <w:rStyle w:val="row-content-rich-text"/>
              </w:rPr>
              <w:t xml:space="preserve">known cognitive impairment/dementia</w:t>
            </w:r>
          </w:p>
          <w:p>
            <w:pPr>
              <w:pStyle w:val="ListParagraph"/>
              <w:numPr>
                <w:ilvl w:val="0"/>
                <w:numId w:val="2"/>
              </w:numPr>
            </w:pPr>
            <w:r>
              <w:rPr>
                <w:rStyle w:val="row-content-rich-text"/>
              </w:rPr>
              <w:t xml:space="preserve">severe medical illness</w:t>
            </w:r>
          </w:p>
          <w:p>
            <w:pPr>
              <w:pStyle w:val="ListParagraph"/>
              <w:numPr>
                <w:ilvl w:val="0"/>
                <w:numId w:val="2"/>
              </w:numPr>
            </w:pPr>
            <w:r>
              <w:rPr>
                <w:rStyle w:val="row-content-rich-text"/>
              </w:rPr>
              <w:t xml:space="preserve">current hip fracture.</w:t>
            </w:r>
          </w:p>
          <w:p>
            <w:pPr>
              <w:spacing w:after="160"/>
            </w:pPr>
            <w:r>
              <w:rPr>
                <w:rStyle w:val="row-content-rich-text"/>
              </w:rPr>
              <w:t xml:space="preserve">Cognitive screening should be based on the use of a validated test. There are a range of validated cognitive function tests available (O'Keeffe et al. 2005). Examples include:</w:t>
            </w:r>
          </w:p>
          <w:p>
            <w:pPr>
              <w:pStyle w:val="ListParagraph"/>
              <w:numPr>
                <w:ilvl w:val="0"/>
                <w:numId w:val="3"/>
              </w:numPr>
            </w:pPr>
            <w:r>
              <w:rPr>
                <w:rStyle w:val="row-content-rich-text"/>
              </w:rPr>
              <w:t xml:space="preserve">Abbreviated Mental Test Score (AMTS) (Hodkinson 1972)</w:t>
            </w:r>
          </w:p>
          <w:p>
            <w:pPr>
              <w:pStyle w:val="ListParagraph"/>
              <w:numPr>
                <w:ilvl w:val="0"/>
                <w:numId w:val="3"/>
              </w:numPr>
            </w:pPr>
            <w:r>
              <w:rPr>
                <w:rStyle w:val="row-content-rich-text"/>
              </w:rPr>
              <w:t xml:space="preserve">4AT test: screening instrument for cognitive impairment and delirium (Bellelli et al. 2014)</w:t>
            </w:r>
          </w:p>
          <w:p>
            <w:pPr>
              <w:pStyle w:val="ListParagraph"/>
              <w:numPr>
                <w:ilvl w:val="0"/>
                <w:numId w:val="3"/>
              </w:numPr>
            </w:pPr>
            <w:r>
              <w:rPr>
                <w:rStyle w:val="row-content-rich-text"/>
              </w:rPr>
              <w:t xml:space="preserve">Standardised Mini-Mental State Examination (SMMSE) (Molloy &amp; Standish 1997).</w:t>
            </w:r>
          </w:p>
          <w:p>
            <w:pPr>
              <w:spacing w:after="160"/>
            </w:pPr>
            <w:r>
              <w:rPr>
                <w:rStyle w:val="row-content-rich-text"/>
              </w:rPr>
              <w:t xml:space="preserve">Other tools may be more appropriate for people from culturally and linguistically diverse groups, such as the Rowland Universal Dementia Assessment Scale (RUDAS) (Storey et al. 2004)</w:t>
            </w:r>
            <w:r>
              <w:rPr>
                <w:rStyle w:val="row-content-rich-text"/>
                <w:vertAlign w:val="superscript"/>
              </w:rPr>
              <w:t xml:space="preserve"> </w:t>
            </w:r>
            <w:r>
              <w:rPr>
                <w:rStyle w:val="row-content-rich-text"/>
              </w:rPr>
              <w:t xml:space="preserve">and the Kimberly Indigenous Cognitive Assessment (KICA) Tools (LoGiudice et al. 2006).</w:t>
            </w:r>
          </w:p>
          <w:p>
            <w:pPr>
              <w:spacing w:after="160"/>
            </w:pPr>
            <w:r>
              <w:rPr>
                <w:rStyle w:val="row-content-rich-text"/>
              </w:rPr>
              <w:t xml:space="preserve">The documentation may be in the form of:</w:t>
            </w:r>
          </w:p>
          <w:p>
            <w:pPr>
              <w:pStyle w:val="ListParagraph"/>
              <w:numPr>
                <w:ilvl w:val="0"/>
                <w:numId w:val="4"/>
              </w:numPr>
            </w:pPr>
            <w:r>
              <w:rPr>
                <w:rStyle w:val="row-content-rich-text"/>
              </w:rPr>
              <w:t xml:space="preserve">clinical guidelines</w:t>
            </w:r>
          </w:p>
          <w:p>
            <w:pPr>
              <w:pStyle w:val="ListParagraph"/>
              <w:numPr>
                <w:ilvl w:val="0"/>
                <w:numId w:val="4"/>
              </w:numPr>
            </w:pPr>
            <w:r>
              <w:rPr>
                <w:rStyle w:val="row-content-rich-text"/>
              </w:rPr>
              <w:t xml:space="preserve">protocols</w:t>
            </w:r>
          </w:p>
          <w:p>
            <w:pPr>
              <w:pStyle w:val="ListParagraph"/>
              <w:numPr>
                <w:ilvl w:val="0"/>
                <w:numId w:val="4"/>
              </w:numPr>
            </w:pPr>
            <w:r>
              <w:rPr>
                <w:rStyle w:val="row-content-rich-text"/>
              </w:rPr>
              <w:t xml:space="preserve">a clinical pathway included as part of the patient’s medical notes/record.</w:t>
            </w:r>
          </w:p>
          <w:p>
            <w:pPr/>
            <w:r>
              <w:rPr>
                <w:rStyle w:val="row-content-rich-text"/>
              </w:rPr>
              <w:t xml:space="preserve">The hospital should specify the test that it uses for cognitive screening in its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the </w:t>
            </w:r>
            <w:r>
              <w:rPr>
                <w:rStyle w:val="row-content-rich-text"/>
                <w:i/>
              </w:rPr>
              <w:t xml:space="preserve">Key principles for care of confused hospitalised older p</w:t>
            </w:r>
            <w:r>
              <w:rPr>
                <w:rStyle w:val="row-content-rich-text"/>
              </w:rPr>
              <w:t xml:space="preserve">ersons (ACI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Bellelli G et al. 2014. Validation of the 4AT, a new instrument for rapid delirium screening: a study in 234 hospitalised older people. Age and Ageing 43(4):496-502.</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7802ae2f55064d0c">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Hodkinson HM 1972. Evaluation of a mental test score for assessment of mental impairment in the elderly. Age and ageing 1(4):233-8.</w:t>
            </w:r>
          </w:p>
          <w:p>
            <w:pPr>
              <w:spacing w:after="160"/>
            </w:pPr>
            <w:r>
              <w:rPr>
                <w:rStyle w:val="row-content-rich-text"/>
              </w:rPr>
              <w:t xml:space="preserve">Jitapunkul S, Pillay I &amp; Ebrahim S 1992. Delirium in newly admitted elderly patients: a prospective study. The Quarterly Journal of Medicine 83(300):307-14.</w:t>
            </w:r>
          </w:p>
          <w:p>
            <w:pPr>
              <w:spacing w:after="160"/>
            </w:pPr>
            <w:r>
              <w:rPr>
                <w:rStyle w:val="row-content-rich-text"/>
              </w:rPr>
              <w:t xml:space="preserve">LoGiudice D et al. 2006. Kimberley Indigenous Cognitive Assessment tool (KICA): development of a cognitive assessment tool for older indigenous Australians. International Psychogeriatrics / IPA 18(2):269-80.</w:t>
            </w:r>
          </w:p>
          <w:p>
            <w:pPr>
              <w:spacing w:after="160"/>
            </w:pPr>
            <w:r>
              <w:rPr>
                <w:rStyle w:val="row-content-rich-text"/>
              </w:rPr>
              <w:t xml:space="preserve">Molloy DW &amp; Standish TI 1997. A guide to the Standardized Mini-Mental State Examination. International Psychogeriatrics / IPA 9 Suppl 1:87-94; Discussion 143-50.</w:t>
            </w:r>
          </w:p>
          <w:p>
            <w:pPr>
              <w:spacing w:after="160"/>
            </w:pPr>
            <w:r>
              <w:rPr>
                <w:rStyle w:val="row-content-rich-text"/>
              </w:rPr>
              <w:t xml:space="preserve">National Institute for Health and Clinical Excellence 2010. Delirium: diagnosis, prevention and management; Clinical guideline 103. London: NICE.</w:t>
            </w:r>
          </w:p>
          <w:p>
            <w:pPr>
              <w:spacing w:after="160"/>
            </w:pPr>
            <w:r>
              <w:rPr>
                <w:rStyle w:val="row-content-rich-text"/>
              </w:rPr>
              <w:t xml:space="preserve">O'Keeffe ST, Mulkerrin EC, Nayeem K, Varughese M &amp; Pillay I 2005. Use of serial Mini-Mental State Examinations to diagnose and monitor delirium in elderly hospital patients. Journal of the American Geriatrics Society 53(5):867-70.</w:t>
            </w:r>
          </w:p>
          <w:p>
            <w:pPr/>
            <w:r>
              <w:rPr>
                <w:rStyle w:val="row-content-rich-text"/>
              </w:rPr>
              <w:t xml:space="preserve">Storey JE, Rowland JT, Basic D, Conforti DA &amp; Dickson HG 2004. The Rowland Universal Dementia Assessment Scale (RUDAS): a multicultural cognitive assessment scale. International Psychogeriatrics / IPA 16(1):13-31.</w:t>
            </w:r>
          </w:p>
        </w:tc>
      </w:tr>
    </w:tbl>
    <w:p>
      <w:r>
        <w:br/>
      </w:r>
    </w:p>
    <w:sectPr>
      <w:footerReference xmlns:r="http://schemas.openxmlformats.org/officeDocument/2006/relationships" w:type="default" r:id="R7d3e76ff3bf2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627955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22962ba18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e76ff3bf240ac" /><Relationship Type="http://schemas.openxmlformats.org/officeDocument/2006/relationships/header" Target="/word/header1.xml" Id="R5af2a9aa88f84aad" /><Relationship Type="http://schemas.openxmlformats.org/officeDocument/2006/relationships/settings" Target="/word/settings.xml" Id="R6560bc56e5024dd5" /><Relationship Type="http://schemas.openxmlformats.org/officeDocument/2006/relationships/styles" Target="/word/styles.xml" Id="Ra349f269bf104072" /><Relationship Type="http://schemas.openxmlformats.org/officeDocument/2006/relationships/hyperlink" Target="https://meteor.aihw.gov.au/RegistrationAuthority/12" TargetMode="External" Id="R83debdd428ff4ab8" /><Relationship Type="http://schemas.openxmlformats.org/officeDocument/2006/relationships/hyperlink" Target="https://meteor.aihw.gov.au/content/628579" TargetMode="External" Id="R2019f95805d347b3" /><Relationship Type="http://schemas.openxmlformats.org/officeDocument/2006/relationships/hyperlink" Target="https://meteor.aihw.gov.au/content/613164" TargetMode="External" Id="Rf1d16e38e3be4c8d" /><Relationship Type="http://schemas.openxmlformats.org/officeDocument/2006/relationships/hyperlink" Target="https://meteor.aihw.gov.au/RegistrationAuthority/12" TargetMode="External" Id="R9b27dbbc8e9a4e7f" /><Relationship Type="http://schemas.openxmlformats.org/officeDocument/2006/relationships/hyperlink" Target="https://meteor.aihw.gov.au/content/624393" TargetMode="External" Id="Rdbf105e248de4416" /><Relationship Type="http://schemas.openxmlformats.org/officeDocument/2006/relationships/hyperlink" Target="https://meteor.aihw.gov.au/RegistrationAuthority/12" TargetMode="External" Id="R34ae7c702f2c467a" /><Relationship Type="http://schemas.openxmlformats.org/officeDocument/2006/relationships/numbering" Target="/word/numbering.xml" Id="Rad491266ac234695" /><Relationship Type="http://schemas.openxmlformats.org/officeDocument/2006/relationships/hyperlink" Target="http://docs.health.vic.gov.au/docs/doc/A9F4D074829CD75ACA25785200120044/$FILE/delirium-cpg.pdf" TargetMode="External" Id="R7802ae2f55064d0c" /></Relationships>
</file>

<file path=word/_rels/header1.xml.rels>&#65279;<?xml version="1.0" encoding="utf-8"?><Relationships xmlns="http://schemas.openxmlformats.org/package/2006/relationships"><Relationship Type="http://schemas.openxmlformats.org/officeDocument/2006/relationships/image" Target="/media/image.png" Id="Rd8d22962ba184a82" /></Relationships>
</file>