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0616ba6d6e46f3"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f78ad600949fc">
              <w:r>
                <w:rPr>
                  <w:rStyle w:val="Hyperlink"/>
                  <w:color w:val="244061"/>
                </w:rPr>
                <w:t xml:space="preserve">AIHW Data Quality Statements</w:t>
              </w:r>
            </w:hyperlink>
            <w:r>
              <w:rPr>
                <w:rStyle w:val="row-content"/>
                <w:color w:val="244061"/>
              </w:rPr>
              <w:t xml:space="preserve">, Superseded 24/05/2017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w:t>
            </w:r>
          </w:p>
          <w:p>
            <w:pPr>
              <w:spacing w:after="160"/>
            </w:pPr>
            <w:r>
              <w:rPr>
                <w:rStyle w:val="row-content-rich-text"/>
              </w:rPr>
              <w:t xml:space="preserve">All states and territories provide the Australian Institute of Health and Welfare (AIHW) with Private Rent Assistance (PRA) data from their administrative systems.</w:t>
            </w:r>
          </w:p>
          <w:p>
            <w:pPr>
              <w:spacing w:after="160"/>
            </w:pPr>
            <w:r>
              <w:rPr>
                <w:rStyle w:val="row-content-rich-text"/>
              </w:rPr>
              <w:t xml:space="preserve">Care should be taken when comparing data across jurisdictions, given differences in the types of PRA programs run and differences in the broader jurisdictional housing systems.</w:t>
            </w:r>
          </w:p>
          <w:p>
            <w:pPr>
              <w:spacing w:after="160"/>
            </w:pPr>
            <w:r>
              <w:rPr>
                <w:rStyle w:val="row-content-rich-text"/>
              </w:rPr>
              <w:t xml:space="preserve">Care should also be taken when comparing data across time due to changes in the underlying PRA programs and how they are classified.</w:t>
            </w:r>
          </w:p>
          <w:p>
            <w:pPr/>
            <w:r>
              <w:rPr>
                <w:rStyle w:val="row-content-rich-text"/>
              </w:rPr>
              <w:t xml:space="preserve">All states and territories provide PRA and maintain administrative data sets about these programs. These data sets are provided annually to the AIHW. This collection contains data about PRA received during 2014–15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96034eb8f5b14e9b">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7f9d526f7c20489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afdfd48d7f8b49b1">
              <w:r>
                <w:rPr>
                  <w:rStyle w:val="Hyperlink"/>
                  <w:i/>
                </w:rPr>
                <w:t xml:space="preserve">Australian Institute of Health and Welfare Act 1987</w:t>
              </w:r>
            </w:hyperlink>
            <w:r>
              <w:rPr>
                <w:rStyle w:val="row-content-rich-text"/>
              </w:rPr>
              <w:t xml:space="preserve">, in conjunction with compliance to the </w:t>
            </w:r>
            <w:hyperlink w:history="true" r:id="Rea998212900549a9">
              <w:r>
                <w:rPr>
                  <w:rStyle w:val="Hyperlink"/>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e0f40c3581d4b02">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b1113ab6d5164ba6">
              <w:r>
                <w:rPr>
                  <w:rStyle w:val="Hyperlink"/>
                  <w:i/>
                </w:rPr>
                <w:t xml:space="preserve">Housing Assistance in Australia 2016</w:t>
              </w:r>
            </w:hyperlink>
            <w:r>
              <w:rPr>
                <w:rStyle w:val="row-content-rich-text"/>
                <w:i/>
              </w:rPr>
              <w:t xml:space="preserve">,</w:t>
            </w:r>
            <w:r>
              <w:rPr>
                <w:rStyle w:val="row-content-rich-text"/>
              </w:rPr>
              <w:t xml:space="preserve"> which is available publicly on the AIHW website.</w:t>
            </w:r>
          </w:p>
          <w:p>
            <w:pPr/>
            <w:r>
              <w:rPr>
                <w:rStyle w:val="row-content-rich-text"/>
              </w:rPr>
              <w:t xml:space="preserve">Users can request additional disaggregations of data which are not available online or in reports (subject to jurisdiction approval) via the AIHW’s online data request system at </w:t>
            </w:r>
            <w:hyperlink w:history="true" r:id="R622a5a26d4d14818">
              <w:r>
                <w:rPr>
                  <w:rStyle w:val="Hyperlink"/>
                </w:rPr>
                <w:t xml:space="preserve">https://datarequest.aihw.gov.au/_layouts/AdHocDataRequest/LodgeRequest.aspx/</w:t>
              </w:r>
            </w:hyperlink>
            <w:r>
              <w:rPr>
                <w:rStyle w:val="row-content-rich-text"/>
              </w:rPr>
              <w:t xml:space="preserve">. Requests that take longer than half an hour to compile are charged on a cost-recovery basis. General enquiries about AIHW publications can be made to the Digital and Media Communications Unit on (02) 6244 1026 or via email to </w:t>
            </w:r>
            <w:hyperlink w:history="true" r:id="Rde99bf621f6d467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and Homelessness Data Dictionary (AIHW Cat no. HOU269) </w:t>
            </w:r>
            <w:hyperlink w:history="true" r:id="R94dde74dc58b44d6">
              <w:r>
                <w:rPr>
                  <w:rStyle w:val="Hyperlink"/>
                </w:rPr>
                <w:t xml:space="preserve">http://www.aihw.gov.au/publication-detail/?id=60129543695</w:t>
              </w:r>
            </w:hyperlink>
          </w:p>
          <w:p>
            <w:pPr/>
            <w:r>
              <w:rPr>
                <w:rStyle w:val="row-content-rich-text"/>
              </w:rPr>
              <w:t xml:space="preserve">Supplementary information can be found in the PRA Data Collection Manual, which is available upon request from the AIHW at </w:t>
            </w:r>
            <w:hyperlink w:history="true" r:id="R90d34903d64a4dc8">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jurisdictions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r>
              <w:rPr>
                <w:rStyle w:val="row-content-rich-text"/>
              </w:rPr>
              <w:t xml:space="preserve">The collection excludes non-financial assistance, for example, tenancy support services and tenancy guarantees.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3"/>
              </w:numPr>
            </w:pPr>
            <w:r>
              <w:rPr>
                <w:rStyle w:val="row-content-rich-text"/>
              </w:rPr>
              <w:t xml:space="preserve">Not all jurisdictions collect data items as per data specifications.</w:t>
            </w:r>
          </w:p>
          <w:p>
            <w:pPr>
              <w:pStyle w:val="ListParagraph"/>
              <w:numPr>
                <w:ilvl w:val="0"/>
                <w:numId w:val="3"/>
              </w:numPr>
            </w:pPr>
            <w:r>
              <w:rPr>
                <w:rStyle w:val="row-content-rich-text"/>
              </w:rPr>
              <w:t xml:space="preserve">Care should be taken in interpreting the number of households assisted. Some households received multiple types of private rent assistance. These households are counted for each type of assistance received.</w:t>
            </w:r>
          </w:p>
          <w:p>
            <w:pPr>
              <w:pStyle w:val="ListParagraph"/>
              <w:numPr>
                <w:ilvl w:val="0"/>
                <w:numId w:val="3"/>
              </w:numPr>
            </w:pPr>
            <w:r>
              <w:rPr>
                <w:rStyle w:val="row-content-rich-text"/>
              </w:rPr>
              <w:t xml:space="preserve">Collection of Indigenous status of the household is not mandatory within the PRA collection. In the 2014-15 collection, 5.5 per cent of households had an unknown Indigenous status. As a result, caution should be taken when interpreting data for Indigenous people.</w:t>
            </w:r>
          </w:p>
          <w:p>
            <w:pPr>
              <w:pStyle w:val="ListParagraph"/>
              <w:numPr>
                <w:ilvl w:val="0"/>
                <w:numId w:val="3"/>
              </w:numPr>
            </w:pPr>
            <w:r>
              <w:rPr>
                <w:rStyle w:val="row-content-rich-text"/>
              </w:rPr>
              <w:t xml:space="preserve">Caution is also advised when reviewing Indigenous status of the household as a household receiving more than one type of assistance can sometimes be reported with two different statuses.</w:t>
            </w:r>
          </w:p>
          <w:p>
            <w:pPr>
              <w:spacing w:after="160"/>
            </w:pPr>
            <w:r>
              <w:rPr>
                <w:rStyle w:val="row-content-rich-text"/>
              </w:rPr>
              <w:t xml:space="preserve">Specific State/Territory issues:</w:t>
            </w:r>
          </w:p>
          <w:p>
            <w:pPr>
              <w:spacing w:after="160"/>
            </w:pPr>
            <w:r>
              <w:rPr>
                <w:rStyle w:val="row-content-rich-text"/>
                <w:b/>
              </w:rPr>
              <w:t xml:space="preserve">Victoria</w:t>
            </w:r>
          </w:p>
          <w:p>
            <w:pPr>
              <w:pStyle w:val="ListParagraph"/>
              <w:numPr>
                <w:ilvl w:val="0"/>
                <w:numId w:val="4"/>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for the 2013-14 and 2014-15 collection years with that of previous years.</w:t>
            </w:r>
          </w:p>
          <w:p>
            <w:pPr>
              <w:spacing w:after="160"/>
            </w:pPr>
            <w:r>
              <w:rPr>
                <w:rStyle w:val="row-content-rich-text"/>
                <w:b/>
              </w:rPr>
              <w:t xml:space="preserve">Queensland</w:t>
            </w:r>
          </w:p>
          <w:p>
            <w:pPr>
              <w:pStyle w:val="ListParagraph"/>
              <w:numPr>
                <w:ilvl w:val="0"/>
                <w:numId w:val="5"/>
              </w:numPr>
            </w:pPr>
            <w:r>
              <w:rPr>
                <w:rStyle w:val="row-content-rich-text"/>
              </w:rPr>
              <w:t xml:space="preserve">The increase in the number of instances of assistance provided to households with a principal household income source of other allowances for students and the unemployed may be the result of more accurate recording of income types.</w:t>
            </w:r>
          </w:p>
          <w:p>
            <w:pPr>
              <w:pStyle w:val="ListParagraph"/>
              <w:numPr>
                <w:ilvl w:val="0"/>
                <w:numId w:val="5"/>
              </w:numPr>
            </w:pPr>
            <w:r>
              <w:rPr>
                <w:rStyle w:val="row-content-rich-text"/>
              </w:rPr>
              <w:t xml:space="preserve">The reduction in the number of households with income source as 'other' is likely to be due to improved recording of income types.</w:t>
            </w:r>
          </w:p>
          <w:p>
            <w:pPr>
              <w:spacing w:after="160"/>
            </w:pPr>
            <w:r>
              <w:rPr>
                <w:rStyle w:val="row-content-rich-text"/>
                <w:b/>
              </w:rPr>
              <w:t xml:space="preserve">Western Australia</w:t>
            </w:r>
          </w:p>
          <w:p>
            <w:pPr>
              <w:pStyle w:val="ListParagraph"/>
              <w:numPr>
                <w:ilvl w:val="0"/>
                <w:numId w:val="6"/>
              </w:numPr>
            </w:pPr>
            <w:r>
              <w:rPr>
                <w:rStyle w:val="row-content-rich-text"/>
              </w:rPr>
              <w:t xml:space="preserve">Historically, Indigenous status was voluntarily reported. This is likely to have contributed to variation across reporting periods. During the 2014-15 reporting period, systems were changed for better data validation which may have resulted in improved data quality for Indigenous status.</w:t>
            </w:r>
          </w:p>
          <w:p>
            <w:pPr>
              <w:pStyle w:val="ListParagraph"/>
              <w:numPr>
                <w:ilvl w:val="0"/>
                <w:numId w:val="6"/>
              </w:numPr>
            </w:pPr>
            <w:r>
              <w:rPr>
                <w:rStyle w:val="row-content-rich-text"/>
              </w:rPr>
              <w:t xml:space="preserve">In addition, improvements have been made to the process through which income-related data is entered and validated. The new process provides an increased selection of income types. This is likely to enhance the accuracy of any mapping to national codes.</w:t>
            </w:r>
          </w:p>
          <w:p>
            <w:pPr>
              <w:pStyle w:val="ListParagraph"/>
              <w:numPr>
                <w:ilvl w:val="0"/>
                <w:numId w:val="6"/>
              </w:numPr>
            </w:pPr>
            <w:r>
              <w:rPr>
                <w:rStyle w:val="row-content-rich-text"/>
              </w:rPr>
              <w:t xml:space="preserve">Increase in households NOT experiencing rental stress reflects changes in market rent. Increased property vacancies resulted in a reduction of market rents.</w:t>
            </w:r>
          </w:p>
          <w:p>
            <w:pPr>
              <w:spacing w:after="160"/>
            </w:pPr>
            <w:r>
              <w:rPr>
                <w:rStyle w:val="row-content-rich-text"/>
                <w:b/>
              </w:rPr>
              <w:t xml:space="preserve">Australian Capital Territory</w:t>
            </w:r>
          </w:p>
          <w:p>
            <w:pPr>
              <w:pStyle w:val="ListParagraph"/>
              <w:numPr>
                <w:ilvl w:val="0"/>
                <w:numId w:val="7"/>
              </w:numPr>
            </w:pPr>
            <w:r>
              <w:rPr>
                <w:rStyle w:val="row-content-rich-text"/>
              </w:rPr>
              <w:t xml:space="preserve">For the 2014-15 reporting period, gross income details are not known for all households. Household income is assessable income only. Caution should thus be exercised when reviewing data for households experiencing housing stress.</w:t>
            </w:r>
          </w:p>
          <w:p>
            <w:pPr>
              <w:pStyle w:val="ListParagraph"/>
              <w:numPr>
                <w:ilvl w:val="0"/>
                <w:numId w:val="7"/>
              </w:numPr>
            </w:pPr>
            <w:r>
              <w:rPr>
                <w:rStyle w:val="row-content-rich-text"/>
              </w:rPr>
              <w:t xml:space="preserve">Historically, households with a 'wages' income were recorded as 'not stated/inadequately described' for income type. In order to improve data quality (and reduce the number of households falling into the 'not stated/inadequately described' category), these particular households were recorded as 'employee cash income' for income type for the 2014-15 reporting period. Thus, data for income type for 2014-15 and 2013-14 reference periods are not comparable with the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Differences in the data collected and which records are included or excluded from a calculation in different jurisdictions affect the coherence of the output comparisons across jurisdictions.</w:t>
            </w:r>
          </w:p>
          <w:p>
            <w:pPr>
              <w:spacing w:after="160"/>
            </w:pPr>
            <w:r>
              <w:rPr>
                <w:rStyle w:val="row-content-rich-text"/>
              </w:rPr>
              <w:t xml:space="preserve">Coherence over time has been affected by changes in the methodology. For example numbers of households assisted by rental grants, subsidies and relief cannot be directly compared with figures produced prior to 2011-12 due to a change in methodology.</w:t>
            </w:r>
          </w:p>
          <w:p>
            <w:pPr>
              <w:spacing w:after="160"/>
            </w:pPr>
            <w:r>
              <w:rPr>
                <w:rStyle w:val="row-content-rich-text"/>
              </w:rPr>
              <w:t xml:space="preserve">Specific State/Territory issues:</w:t>
            </w:r>
          </w:p>
          <w:p>
            <w:pPr>
              <w:spacing w:after="160"/>
            </w:pPr>
            <w:r>
              <w:rPr>
                <w:rStyle w:val="row-content-rich-text"/>
                <w:b/>
              </w:rPr>
              <w:t xml:space="preserve">New South Wales </w:t>
            </w:r>
          </w:p>
          <w:p>
            <w:pPr>
              <w:pStyle w:val="ListParagraph"/>
              <w:numPr>
                <w:ilvl w:val="0"/>
                <w:numId w:val="8"/>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is not comparable with the data from 2010-11 and earlier reference periods.</w:t>
            </w:r>
          </w:p>
          <w:p>
            <w:pPr>
              <w:pStyle w:val="ListParagraph"/>
              <w:numPr>
                <w:ilvl w:val="0"/>
                <w:numId w:val="8"/>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are not comparable with earlier collections.</w:t>
            </w:r>
          </w:p>
          <w:p>
            <w:pPr>
              <w:spacing w:after="160"/>
            </w:pPr>
            <w:r>
              <w:rPr>
                <w:rStyle w:val="row-content-rich-text"/>
                <w:b/>
              </w:rPr>
              <w:t xml:space="preserve">South Australia</w:t>
            </w:r>
          </w:p>
          <w:p>
            <w:pPr>
              <w:pStyle w:val="ListParagraph"/>
              <w:numPr>
                <w:ilvl w:val="0"/>
                <w:numId w:val="9"/>
              </w:numPr>
            </w:pPr>
            <w:r>
              <w:rPr>
                <w:rStyle w:val="row-content-rich-text"/>
              </w:rPr>
              <w:t xml:space="preserve">From 2011-12, hotel/motel assistance is reported under ‘other’ assistance. Before 2011-12, hotel/motel assistance was included in rental grants, subsidies and relief. Thus, the number of households assisted through ‘other’ assistance from 2011-12 are not comparable with earlier collections.</w:t>
            </w:r>
          </w:p>
          <w:p>
            <w:pPr>
              <w:spacing w:after="160"/>
            </w:pPr>
            <w:r>
              <w:rPr>
                <w:rStyle w:val="row-content-rich-text"/>
                <w:b/>
              </w:rPr>
              <w:t xml:space="preserve">Australian Capital Territory</w:t>
            </w:r>
          </w:p>
          <w:p>
            <w:pPr>
              <w:pStyle w:val="ListParagraph"/>
              <w:numPr>
                <w:ilvl w:val="0"/>
                <w:numId w:val="10"/>
              </w:numPr>
            </w:pPr>
            <w:r>
              <w:rPr>
                <w:rStyle w:val="row-content-rich-text"/>
              </w:rPr>
              <w:t xml:space="preserve">In the ACT, households that receive bond loan assistance also receive relocation expenses to assist with relocation, utility costs and other start up housing costs. Currently, the amount for relocation expenses is set at $100 per household. Bond loan assistance and relocation expenses are recorded separately.</w:t>
            </w:r>
          </w:p>
          <w:p>
            <w:pPr>
              <w:spacing w:after="160"/>
            </w:pPr>
            <w:r>
              <w:rPr>
                <w:rStyle w:val="row-content-rich-text"/>
                <w:b/>
              </w:rPr>
              <w:t xml:space="preserve">Tasmania</w:t>
            </w:r>
          </w:p>
          <w:p>
            <w:pPr>
              <w:pStyle w:val="ListParagraph"/>
              <w:numPr>
                <w:ilvl w:val="0"/>
                <w:numId w:val="11"/>
              </w:numPr>
            </w:pPr>
            <w:r>
              <w:rPr>
                <w:rStyle w:val="row-content-rich-text"/>
              </w:rPr>
              <w:t xml:space="preserve">Decline in households assisted under the PRA collection since 2013-14 can be attributed to a range of factors including:</w:t>
            </w:r>
          </w:p>
          <w:p>
            <w:pPr>
              <w:pStyle w:val="ListParagraph"/>
              <w:numPr>
                <w:ilvl w:val="0"/>
                <w:numId w:val="11"/>
              </w:numPr>
            </w:pPr>
            <w:r>
              <w:rPr>
                <w:rStyle w:val="row-content-rich-text"/>
              </w:rPr>
              <w:t xml:space="preserve">The introduction of Housing Connect and Better Housing Futures programs enabled improved access to social housing (e.g., community housing and public housing).</w:t>
            </w:r>
          </w:p>
          <w:p>
            <w:pPr>
              <w:pStyle w:val="ListParagraph"/>
              <w:numPr>
                <w:ilvl w:val="0"/>
                <w:numId w:val="11"/>
              </w:numPr>
            </w:pPr>
            <w:r>
              <w:rPr>
                <w:rStyle w:val="row-content-rich-text"/>
              </w:rPr>
              <w:t xml:space="preserve">In addition, introduction of the </w:t>
            </w:r>
            <w:r>
              <w:rPr>
                <w:rStyle w:val="row-content-rich-text"/>
                <w:i/>
              </w:rPr>
              <w:t xml:space="preserve">Residential Tenancy Act 1997 </w:t>
            </w:r>
            <w:r>
              <w:rPr>
                <w:rStyle w:val="row-content-rich-text"/>
              </w:rPr>
              <w:t xml:space="preserve">resulted in changes to requirements for the standards of rental accommodation.</w:t>
            </w:r>
          </w:p>
          <w:p>
            <w:pPr>
              <w:pStyle w:val="ListParagraph"/>
              <w:numPr>
                <w:ilvl w:val="0"/>
                <w:numId w:val="11"/>
              </w:numPr>
            </w:pPr>
            <w:r>
              <w:rPr>
                <w:rStyle w:val="row-content-rich-text"/>
              </w:rPr>
              <w:t xml:space="preserve">Higher property vacancy rate.</w:t>
            </w:r>
          </w:p>
          <w:p>
            <w:pPr>
              <w:spacing w:after="160"/>
            </w:pPr>
            <w:r>
              <w:rPr>
                <w:rStyle w:val="row-content-rich-text"/>
                <w:b/>
              </w:rPr>
              <w:t xml:space="preserve">Northern Territory</w:t>
            </w:r>
          </w:p>
          <w:p>
            <w:pPr>
              <w:pStyle w:val="ListParagraph"/>
              <w:numPr>
                <w:ilvl w:val="0"/>
                <w:numId w:val="12"/>
              </w:numPr>
            </w:pPr>
            <w:r>
              <w:rPr>
                <w:rStyle w:val="row-content-rich-text"/>
              </w:rPr>
              <w:t xml:space="preserve">In December 2014, NT changed their rental grant program. Instead of providing a two-week rental grant for approved clients only, an additional two-week rental subsidy, as part of bond assistance, is provided. Thus, care is advised when reviewing data for 2014-15 with that of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6a9233623e4bab">
              <w:r>
                <w:rPr>
                  <w:rStyle w:val="Hyperlink"/>
                </w:rPr>
                <w:t xml:space="preserve">Private rent assistance 2013-14 Data Quality Statement</w:t>
              </w:r>
            </w:hyperlink>
          </w:p>
          <w:p>
            <w:pPr>
              <w:spacing w:before="0" w:after="0"/>
            </w:pPr>
            <w:r>
              <w:rPr>
                <w:rStyle w:val="row-content"/>
                <w:color w:val="244061"/>
              </w:rPr>
              <w:t xml:space="preserve">       </w:t>
            </w:r>
            <w:hyperlink w:history="true" r:id="R7d7124ed8aeb4e13">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8766129b78524ecd">
              <w:r>
                <w:rPr>
                  <w:rStyle w:val="Hyperlink"/>
                </w:rPr>
                <w:t xml:space="preserve">Private Rent Assistance Collection, 2015-16; Quality Statement</w:t>
              </w:r>
            </w:hyperlink>
          </w:p>
          <w:p>
            <w:pPr>
              <w:spacing w:before="0" w:after="0"/>
            </w:pPr>
            <w:r>
              <w:rPr>
                <w:rStyle w:val="row-content"/>
                <w:color w:val="244061"/>
              </w:rPr>
              <w:t xml:space="preserve">       </w:t>
            </w:r>
            <w:hyperlink w:history="true" r:id="R20bd165e9a2f4f87">
              <w:r>
                <w:rPr>
                  <w:rStyle w:val="Hyperlink"/>
                  <w:color w:val="244061"/>
                </w:rPr>
                <w:t xml:space="preserve">AIHW Data Quality Statements</w:t>
              </w:r>
            </w:hyperlink>
            <w:r>
              <w:rPr>
                <w:rStyle w:val="row-content"/>
                <w:color w:val="244061"/>
              </w:rPr>
              <w:t xml:space="preserve">, Superseded 06/06/2018</w:t>
            </w:r>
          </w:p>
          <w:p>
            <w:r>
              <w:br/>
            </w:r>
          </w:p>
        </w:tc>
      </w:tr>
    </w:tbl>
    <w:p>
      <w:r>
        <w:br/>
      </w:r>
    </w:p>
    <w:sectPr>
      <w:footerReference xmlns:r="http://schemas.openxmlformats.org/officeDocument/2006/relationships" w:type="default" r:id="Rdace2518d170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627461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46ec25e92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e2518d170433a" /><Relationship Type="http://schemas.openxmlformats.org/officeDocument/2006/relationships/header" Target="/word/header1.xml" Id="Rd16e985a645a49d9" /><Relationship Type="http://schemas.openxmlformats.org/officeDocument/2006/relationships/settings" Target="/word/settings.xml" Id="Ra432d83479304368" /><Relationship Type="http://schemas.openxmlformats.org/officeDocument/2006/relationships/styles" Target="/word/styles.xml" Id="Rcfdb23556fa84a2e" /><Relationship Type="http://schemas.openxmlformats.org/officeDocument/2006/relationships/hyperlink" Target="https://meteor.aihw.gov.au/RegistrationAuthority/5" TargetMode="External" Id="R95bf78ad600949fc" /><Relationship Type="http://schemas.openxmlformats.org/officeDocument/2006/relationships/hyperlink" Target="https://www.legislation.gov.au/Series/C2004A03450" TargetMode="External" Id="R96034eb8f5b14e9b" /><Relationship Type="http://schemas.openxmlformats.org/officeDocument/2006/relationships/hyperlink" Target="http://www.aihw.gov.au/aihw-board/" TargetMode="External" Id="R7f9d526f7c204896" /><Relationship Type="http://schemas.openxmlformats.org/officeDocument/2006/relationships/hyperlink" Target="https://www.legislation.gov.au/Series/C2004A03450" TargetMode="External" Id="Rafdfd48d7f8b49b1" /><Relationship Type="http://schemas.openxmlformats.org/officeDocument/2006/relationships/hyperlink" Target="https://www.legislation.gov.au/Details/C2011C00503" TargetMode="External" Id="Rea998212900549a9" /><Relationship Type="http://schemas.openxmlformats.org/officeDocument/2006/relationships/hyperlink" Target="http://www.aihw.gov.au/" TargetMode="External" Id="Rbe0f40c3581d4b02" /><Relationship Type="http://schemas.openxmlformats.org/officeDocument/2006/relationships/hyperlink" Target="http://www.aihw.gov.au/housing-assistance/" TargetMode="External" Id="Rb1113ab6d5164ba6" /><Relationship Type="http://schemas.openxmlformats.org/officeDocument/2006/relationships/hyperlink" Target="https://datarequest.aihw.gov.au/_layouts/AdHocDataRequest/LodgeRequest.aspx/" TargetMode="External" Id="R622a5a26d4d14818" /><Relationship Type="http://schemas.openxmlformats.org/officeDocument/2006/relationships/hyperlink" Target="mailto:info@aihw.gov.au" TargetMode="External" Id="Rde99bf621f6d4678" /><Relationship Type="http://schemas.openxmlformats.org/officeDocument/2006/relationships/hyperlink" Target="http://www.aihw.gov.au/publication-detail/?id=60129543695" TargetMode="External" Id="R94dde74dc58b44d6" /><Relationship Type="http://schemas.openxmlformats.org/officeDocument/2006/relationships/hyperlink" Target="mailto:housing@aihw.gov.au" TargetMode="External" Id="R90d34903d64a4dc8" /><Relationship Type="http://schemas.openxmlformats.org/officeDocument/2006/relationships/numbering" Target="/word/numbering.xml" Id="R7bb14b49aeec4569" /><Relationship Type="http://schemas.openxmlformats.org/officeDocument/2006/relationships/hyperlink" Target="https://meteor.aihw.gov.au/content/596617" TargetMode="External" Id="R806a9233623e4bab" /><Relationship Type="http://schemas.openxmlformats.org/officeDocument/2006/relationships/hyperlink" Target="https://meteor.aihw.gov.au/RegistrationAuthority/5" TargetMode="External" Id="R7d7124ed8aeb4e13" /><Relationship Type="http://schemas.openxmlformats.org/officeDocument/2006/relationships/hyperlink" Target="https://meteor.aihw.gov.au/content/662639" TargetMode="External" Id="R8766129b78524ecd" /><Relationship Type="http://schemas.openxmlformats.org/officeDocument/2006/relationships/hyperlink" Target="https://meteor.aihw.gov.au/RegistrationAuthority/5" TargetMode="External" Id="R20bd165e9a2f4f87" /></Relationships>
</file>

<file path=word/_rels/header1.xml.rels>&#65279;<?xml version="1.0" encoding="utf-8"?><Relationships xmlns="http://schemas.openxmlformats.org/package/2006/relationships"><Relationship Type="http://schemas.openxmlformats.org/officeDocument/2006/relationships/image" Target="/media/image.png" Id="R19946ec25e924dd6" /></Relationships>
</file>