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f7de5017345b6"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90a0b1fa44e90">
              <w:r>
                <w:rPr>
                  <w:rStyle w:val="Hyperlink"/>
                  <w:color w:val="244061"/>
                </w:rPr>
                <w:t xml:space="preserve">AIHW Data Quality Statements</w:t>
              </w:r>
            </w:hyperlink>
            <w:r>
              <w:rPr>
                <w:rStyle w:val="row-content"/>
                <w:color w:val="244061"/>
              </w:rPr>
              <w:t xml:space="preserve">, Standard 26/11/2015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r>
              <w:rPr>
                <w:rStyle w:val="row-content-rich-text"/>
              </w:rPr>
              <w:t xml:space="preserve"> </w:t>
            </w:r>
          </w:p>
          <w:p>
            <w:pPr>
              <w:spacing w:after="160"/>
            </w:pPr>
            <w:r>
              <w:rPr>
                <w:rStyle w:val="row-content-rich-text"/>
                <w:color w:val="000000"/>
              </w:rPr>
              <w:t xml:space="preserve">The National Health Workforce Data Set (NHWDS) 2014: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color w:val="000000"/>
              </w:rPr>
              <w:t xml:space="preserve">This is the fifth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w:t>
            </w:r>
          </w:p>
          <w:p>
            <w:pPr>
              <w:spacing w:after="160"/>
            </w:pPr>
            <w:r>
              <w:rPr>
                <w:rStyle w:val="row-content-rich-text"/>
                <w:color w:val="000000"/>
              </w:rPr>
              <w:t xml:space="preserve">The major issues with data quality for the </w:t>
            </w:r>
            <w:r>
              <w:rPr>
                <w:rStyle w:val="row-content-rich-text"/>
                <w:i/>
                <w:color w:val="000000"/>
              </w:rPr>
              <w:t xml:space="preserve">NHWDS 2014: medical practitioners</w:t>
            </w:r>
            <w:r>
              <w:rPr>
                <w:rStyle w:val="row-content-rich-text"/>
                <w:color w:val="000000"/>
              </w:rPr>
              <w:t xml:space="preserve"> include: </w:t>
            </w:r>
          </w:p>
          <w:p>
            <w:pPr>
              <w:spacing w:after="160"/>
            </w:pPr>
            <w:r>
              <w:rPr>
                <w:rStyle w:val="row-content-rich-text"/>
                <w:sz w:val="40"/>
              </w:rPr>
              <w:t xml:space="preserve">·</w:t>
            </w:r>
            <w:r>
              <w:rPr>
                <w:rStyle w:val="row-content-rich-text"/>
              </w:rPr>
              <w:t xml:space="preserve">         </w:t>
            </w:r>
            <w:r>
              <w:rPr>
                <w:rStyle w:val="row-content-rich-text"/>
                <w:sz w:val="40"/>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spacing w:after="160"/>
            </w:pPr>
            <w:r>
              <w:rPr>
                <w:rStyle w:val="row-content-rich-text"/>
                <w:sz w:val="40"/>
              </w:rPr>
              <w:t xml:space="preserve">·</w:t>
            </w:r>
            <w:r>
              <w:rPr>
                <w:rStyle w:val="row-content-rich-text"/>
              </w:rPr>
              <w:t xml:space="preserve">         </w:t>
            </w:r>
            <w:r>
              <w:rPr>
                <w:rStyle w:val="row-content-rich-text"/>
                <w:sz w:val="40"/>
              </w:rPr>
              <w:t xml:space="preserve">Methodological changes, and in particular the inclusion of registration type and an updated specialty classification, mean that some estimates may be affected by changes between the </w:t>
            </w:r>
            <w:r>
              <w:rPr>
                <w:rStyle w:val="row-content-rich-text"/>
                <w:i/>
                <w:sz w:val="40"/>
              </w:rPr>
              <w:t xml:space="preserve">NHWDS 2011: medical practitioners</w:t>
            </w:r>
            <w:r>
              <w:rPr>
                <w:rStyle w:val="row-content-rich-text"/>
                <w:sz w:val="40"/>
              </w:rPr>
              <w:t xml:space="preserve"> derivation and the derivation of </w:t>
            </w:r>
            <w:r>
              <w:rPr>
                <w:rStyle w:val="row-content-rich-text"/>
                <w:i/>
                <w:sz w:val="40"/>
              </w:rPr>
              <w:t xml:space="preserve">NHWDS 2012-2013: medical practitioners</w:t>
            </w:r>
            <w:r>
              <w:rPr>
                <w:rStyle w:val="row-content-rich-text"/>
                <w:sz w:val="40"/>
              </w:rPr>
              <w:t xml:space="preserve">.</w:t>
            </w:r>
          </w:p>
          <w:p>
            <w:pPr>
              <w:spacing w:after="160"/>
            </w:pPr>
            <w:r>
              <w:rPr>
                <w:rStyle w:val="row-content-rich-text"/>
                <w:sz w:val="40"/>
              </w:rPr>
              <w:t xml:space="preserve">·</w:t>
            </w:r>
            <w:r>
              <w:rPr>
                <w:rStyle w:val="row-content-rich-text"/>
              </w:rPr>
              <w:t xml:space="preserve">         </w:t>
            </w:r>
            <w:r>
              <w:rPr>
                <w:rStyle w:val="row-content-rich-text"/>
                <w:sz w:val="40"/>
              </w:rPr>
              <w:t xml:space="preserve">Before 2010, the AIHW Medical Labour Force Survey collected state and territory of registration. The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excludes provisional registrants. </w:t>
            </w:r>
          </w:p>
          <w:p>
            <w:pPr>
              <w:spacing w:after="160"/>
            </w:pPr>
            <w:r>
              <w:rPr>
                <w:rStyle w:val="row-content-rich-text"/>
                <w:b/>
              </w:rPr>
              <w:t xml:space="preserve">Description </w:t>
            </w:r>
            <w:r>
              <w:rPr>
                <w:rStyle w:val="row-content-rich-text"/>
              </w:rPr>
              <w:t xml:space="preserve"> </w:t>
            </w:r>
          </w:p>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a combination of registration and survey data collected through the medical practitioner registration renewal process.</w:t>
            </w:r>
          </w:p>
          <w:p>
            <w:pPr>
              <w:spacing w:after="160"/>
            </w:pPr>
            <w:r>
              <w:rPr>
                <w:rStyle w:val="row-content-rich-text"/>
                <w:b/>
              </w:rPr>
              <w:t xml:space="preserve">Registration data</w:t>
            </w:r>
            <w:r>
              <w:rPr>
                <w:rStyle w:val="row-content-rich-text"/>
              </w:rPr>
              <w:t xml:space="preserve"> </w:t>
            </w:r>
          </w:p>
          <w:p>
            <w:pPr>
              <w:spacing w:after="160"/>
            </w:pPr>
            <w:r>
              <w:rPr>
                <w:rStyle w:val="row-content-rich-text"/>
                <w:color w:val="000000"/>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 </w:t>
            </w:r>
          </w:p>
          <w:p>
            <w:pPr>
              <w:spacing w:after="160"/>
            </w:pPr>
            <w:r>
              <w:rPr>
                <w:rStyle w:val="row-content-rich-text"/>
                <w:color w:val="000000"/>
              </w:rPr>
              <w:t xml:space="preserve">The majority of medical practitioners are due to renew their registrations on 30 September each year. Limited and provisional registration renewals occur on the anniversary of when the individual practitioner last registered/renewed. </w:t>
            </w:r>
          </w:p>
          <w:p>
            <w:pPr>
              <w:spacing w:after="160"/>
            </w:pPr>
            <w:r>
              <w:rPr>
                <w:rStyle w:val="row-content-rich-text"/>
              </w:rPr>
              <w:t xml:space="preserve">Data collected at renewal include demographic information such as age, sex, country of birth, details of health qualification(s), and registration status (see registration forms at </w:t>
            </w:r>
            <w:hyperlink w:history="true" r:id="R57ba5493c5974583">
              <w:r>
                <w:rPr>
                  <w:rStyle w:val="Hyperlink"/>
                </w:rPr>
                <w:t xml:space="preserve">http://www.medicalboard.gov.au/Registration/Types/General-Registration.aspx</w:t>
              </w:r>
            </w:hyperlink>
            <w:r>
              <w:rPr>
                <w:rStyle w:val="row-content-rich-text"/>
                <w:color w:val="000000"/>
              </w:rPr>
              <w:t xml:space="preserve">).</w:t>
            </w:r>
          </w:p>
          <w:p>
            <w:pPr>
              <w:spacing w:after="160"/>
            </w:pPr>
            <w:r>
              <w:rPr>
                <w:rStyle w:val="row-content-rich-text"/>
                <w:b/>
              </w:rPr>
              <w:t xml:space="preserve">Survey data </w:t>
            </w:r>
            <w:r>
              <w:rPr>
                <w:rStyle w:val="row-content-rich-text"/>
              </w:rPr>
              <w:t xml:space="preserve"> </w:t>
            </w:r>
          </w:p>
          <w:p>
            <w:pPr>
              <w:spacing w:after="160"/>
            </w:pPr>
            <w:r>
              <w:rPr>
                <w:rStyle w:val="row-content-rich-text"/>
                <w:color w:val="000000"/>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 </w:t>
            </w:r>
          </w:p>
          <w:p>
            <w:pPr>
              <w:spacing w:after="160"/>
            </w:pPr>
            <w:r>
              <w:rPr>
                <w:rStyle w:val="row-content-rich-text"/>
                <w:b/>
              </w:rPr>
              <w:t xml:space="preserve">Database creation</w:t>
            </w:r>
            <w:r>
              <w:rPr>
                <w:rStyle w:val="row-content-rich-text"/>
              </w:rPr>
              <w:t xml:space="preserve"> </w:t>
            </w:r>
          </w:p>
          <w:p>
            <w:pPr>
              <w:spacing w:after="160"/>
            </w:pPr>
            <w:r>
              <w:rPr>
                <w:rStyle w:val="row-content-rich-text"/>
                <w:color w:val="000000"/>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color w:val="000000"/>
              </w:rPr>
              <w:t xml:space="preserve">The paper survey forms are collected by AHPRA and sent to the Commonwealth Department of Health to be scanned into a data set.</w:t>
            </w:r>
            <w:r>
              <w:rPr>
                <w:rStyle w:val="row-content-rich-text"/>
                <w:color w:val="000000"/>
              </w:rPr>
              <w:t xml:space="preserve">   </w:t>
            </w:r>
            <w:r>
              <w:rPr>
                <w:rStyle w:val="row-content-rich-text"/>
                <w:color w:val="000000"/>
              </w:rPr>
              <w:t xml:space="preserve">The Commonwealth Department of Health then sends the scanned data to AIHW for merging with the online survey forms and registration data. The merged data is cleansed and adjusted for non-response to form a nationally consistent data set. The final data set is then known as the National Health Workforce Data Set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color w:val="000000"/>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color w:val="000000"/>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color w:val="000000"/>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color w:val="000000"/>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r>
              <w:rPr>
                <w:rStyle w:val="row-content-rich-text"/>
                <w:color w:val="000000"/>
              </w:rPr>
              <w:t xml:space="preserve">&lt;http://www.aihw.gov.au&gt;</w:t>
            </w:r>
            <w:r>
              <w:rPr>
                <w:rStyle w:val="row-content-rich-text"/>
                <w:color w:val="000000"/>
              </w:rPr>
              <w:t xml:space="preserve">.</w:t>
            </w:r>
          </w:p>
          <w:p>
            <w:pPr>
              <w:spacing w:after="160"/>
            </w:pPr>
            <w:r>
              <w:rPr>
                <w:rStyle w:val="row-content-rich-text"/>
                <w:color w:val="000000"/>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color w:val="000000"/>
              </w:rPr>
              <w:t xml:space="preserve">Until its closure in August 2014, Health Workforce Australia was responsible for the development of the workforce surveys. Its functions were transferred then to the Department of Health.</w:t>
            </w:r>
          </w:p>
          <w:p>
            <w:pPr/>
            <w:r>
              <w:rPr>
                <w:rStyle w:val="row-content-rich-text"/>
                <w:color w:val="000000"/>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2014: medical practitioners. The AIHW is the data custodian of the NHWDS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w:t>
            </w:r>
            <w:r>
              <w:rPr>
                <w:rStyle w:val="row-content-rich-text"/>
                <w:color w:val="000000"/>
              </w:rPr>
              <w:t xml:space="preserve">renewal date.</w:t>
            </w:r>
          </w:p>
          <w:p>
            <w:pPr>
              <w:spacing w:after="160"/>
            </w:pPr>
            <w:r>
              <w:rPr>
                <w:rStyle w:val="row-content-rich-text"/>
                <w:color w:val="000000"/>
              </w:rPr>
              <w:t xml:space="preserve">The Medical Workforce Survey was collected between 1 July and 30 September, as it is administered as part</w:t>
            </w:r>
            <w:r>
              <w:rPr>
                <w:rStyle w:val="row-content-rich-text"/>
                <w:color w:val="000000"/>
              </w:rPr>
              <w:t xml:space="preserve">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color w:val="000000"/>
              </w:rPr>
              <w:t xml:space="preserve">The online data was provided to the AIHW from AHPRA in December 2014 while the paper forms were sent to the AIHW from the Commonwealth Department of Health on 28 April 2015. The medical practitioner 2014 data is to be published by AIHW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medical practitioners are published on the AIHW website at </w:t>
            </w:r>
            <w:hyperlink w:history="true" r:id="R565c824e97cc467e">
              <w:r>
                <w:rPr>
                  <w:rStyle w:val="Hyperlink"/>
                </w:rPr>
                <w:t xml:space="preserve">http://www.aihw.gov.au/workforce/medical/</w:t>
              </w:r>
            </w:hyperlink>
            <w:r>
              <w:rPr>
                <w:rStyle w:val="row-content-rich-text"/>
                <w:color w:val="000000"/>
              </w:rPr>
              <w:t xml:space="preserve">.</w:t>
            </w:r>
          </w:p>
          <w:p>
            <w:pPr>
              <w:spacing w:after="160"/>
            </w:pPr>
            <w:r>
              <w:rPr>
                <w:rStyle w:val="row-content-rich-text"/>
              </w:rPr>
              <w:t xml:space="preserve">Users can request data not available online or in reports through the AIHW data request management system </w:t>
            </w:r>
            <w:hyperlink w:history="true" r:id="R6da916f7ad274f45">
              <w:r>
                <w:rPr>
                  <w:rStyle w:val="Hyperlink"/>
                </w:rPr>
                <w:t xml:space="preserve">http://www.aihw.gov.au/custom-data-request-service/</w:t>
              </w:r>
            </w:hyperlink>
            <w:r>
              <w:rPr>
                <w:rStyle w:val="row-content-rich-text"/>
                <w:color w:val="000000"/>
              </w:rPr>
              <w:t xml:space="preserve">, </w:t>
            </w:r>
            <w:r>
              <w:rPr>
                <w:rStyle w:val="row-content-rich-text"/>
                <w:color w:val="000000"/>
              </w:rPr>
              <w:t xml:space="preserve"> </w:t>
            </w:r>
            <w:r>
              <w:rPr>
                <w:rStyle w:val="row-content-rich-text"/>
                <w:color w:val="000000"/>
              </w:rPr>
              <w:t xml:space="preserve">via the </w:t>
            </w:r>
            <w:r>
              <w:rPr>
                <w:rStyle w:val="row-content-rich-text"/>
                <w:color w:val="000000"/>
              </w:rPr>
              <w:t xml:space="preserve">Communications, Media and Marketing Unit</w:t>
            </w:r>
            <w:r>
              <w:rPr>
                <w:rStyle w:val="row-content-rich-text"/>
                <w:color w:val="000000"/>
              </w:rPr>
              <w:t xml:space="preserve">on (02) 6244 1032 or via email to </w:t>
            </w:r>
            <w:hyperlink w:history="true" r:id="Rf871046b404a4a17">
              <w:r>
                <w:rPr>
                  <w:rStyle w:val="Hyperlink"/>
                </w:rPr>
                <w:t xml:space="preserve">info@aihw.gov.au</w:t>
              </w:r>
            </w:hyperlink>
            <w:r>
              <w:rPr>
                <w:rStyle w:val="row-content-rich-text"/>
                <w:color w:val="000000"/>
              </w:rPr>
              <w:t xml:space="preserve">. Requests that take longer than half an hour to compile are charged for on a cost-recovery basis.</w:t>
            </w:r>
          </w:p>
          <w:p>
            <w:pPr/>
            <w:r>
              <w:rPr>
                <w:rStyle w:val="row-content-rich-text"/>
                <w:color w:val="000000"/>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Descriptions of data items in the </w:t>
            </w:r>
            <w:r>
              <w:rPr>
                <w:rStyle w:val="row-content-rich-text"/>
                <w:i/>
                <w:color w:val="000000"/>
              </w:rPr>
              <w:t xml:space="preserve">National Health Workforce Data Set 2014: medical practitioners</w:t>
            </w:r>
            <w:r>
              <w:rPr>
                <w:rStyle w:val="row-content-rich-text"/>
                <w:color w:val="000000"/>
              </w:rPr>
              <w:t xml:space="preserve"> are available on request from the Expenditure and Workforce Unit at the AIHW.</w:t>
            </w:r>
          </w:p>
          <w:p>
            <w:pPr/>
            <w:r>
              <w:rPr>
                <w:rStyle w:val="row-content-rich-text"/>
              </w:rPr>
              <w:t xml:space="preserve">The survey used by medical practitioners is available from the AIHW website </w:t>
            </w:r>
            <w:hyperlink w:history="true" r:id="Ra638a9f73c5540e4">
              <w:r>
                <w:rPr>
                  <w:rStyle w:val="Hyperlink"/>
                </w:rPr>
                <w:t xml:space="preserve">http://www.aihw.gov.au/workforce/medical/</w:t>
              </w:r>
            </w:hyperlink>
            <w:r>
              <w:rPr>
                <w:rStyle w:val="row-content-rich-text"/>
              </w:rPr>
              <w:t xml:space="preserv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Medical practitioners are required by law to be registered with the Medical Board of Australia and must complete the formal registration renewal form(s) to practise in Australia. This is the compulsory component of the renewal process. </w:t>
            </w:r>
          </w:p>
          <w:p>
            <w:pPr/>
            <w:r>
              <w:rPr>
                <w:rStyle w:val="row-content-rich-text"/>
                <w:color w:val="000000"/>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The data set also contains workforce information for registered medical practitioners who completed the Medical Workforce Survey. The overall response rate to the 2014 survey was 91.8%. That is, the number of responses to the survey represented 91.8% of registered medical practitioners. Of these responses, 96.3% completed the 2014 version of the survey online, 3.1% completed the 2014 version of the survey on paper and 0.6% completed the 2013 version of the survey on paper. The group with the lowest response rate was limited registrants (4,125 registrations with a response rate of 25.0%) who only complete paper survey forms on the anniversary of their first registration. As a result not only do they have a low response rate but they are more likely to complete the 2013 version of the survey on paper. This significantly affects the reliability of estimates for this group.</w:t>
            </w:r>
          </w:p>
          <w:p>
            <w:pPr>
              <w:spacing w:after="160"/>
            </w:pPr>
            <w:r>
              <w:rPr>
                <w:rStyle w:val="row-content-rich-text"/>
                <w:b/>
              </w:rPr>
              <w:t xml:space="preserve">Registration data from the NRAS </w:t>
            </w:r>
            <w:r>
              <w:rPr>
                <w:rStyle w:val="row-content-rich-text"/>
              </w:rPr>
              <w:t xml:space="preserve"> </w:t>
            </w:r>
          </w:p>
          <w:p>
            <w:pPr>
              <w:spacing w:after="160"/>
            </w:pPr>
            <w:r>
              <w:rPr>
                <w:rStyle w:val="row-content-rich-text"/>
                <w:color w:val="000000"/>
              </w:rPr>
              <w:t xml:space="preserve">Some data items collected as part of the previous AIHW Medical Labour Force Survey, such as date of birth, sex and specialty of practice, are now data items included as part of the registration and renewal process. </w:t>
            </w:r>
          </w:p>
          <w:p>
            <w:pPr>
              <w:spacing w:after="160"/>
            </w:pPr>
            <w:r>
              <w:rPr>
                <w:rStyle w:val="row-content-rich-text"/>
                <w:color w:val="000000"/>
              </w:rPr>
              <w:t xml:space="preserve">The NRAS allows a medical practitioner to record more than one specialty, with up to five specialties recorded in 2014.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2014 design </w:t>
            </w:r>
            <w:r>
              <w:rPr>
                <w:rStyle w:val="row-content-rich-text"/>
              </w:rPr>
              <w:t xml:space="preserve"> </w:t>
            </w:r>
          </w:p>
          <w:p>
            <w:pPr>
              <w:spacing w:after="160"/>
            </w:pPr>
            <w:r>
              <w:rPr>
                <w:rStyle w:val="row-content-rich-text"/>
                <w:color w:val="000000"/>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2014 questionnaire.</w:t>
            </w:r>
          </w:p>
          <w:p>
            <w:pPr>
              <w:spacing w:after="160"/>
            </w:pPr>
            <w:r>
              <w:rPr>
                <w:rStyle w:val="row-content-rich-text"/>
                <w:color w:val="000000"/>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color w:val="000000"/>
              </w:rPr>
              <w:t xml:space="preserve">In the electronic version of the 2014 survey, a small number of survey items were filled by an automated process that draws on the registration data of respondents. For two survey items, the automated process may not have functioned as intended. The survey items are meant to determine whether the respondent:</w:t>
            </w:r>
          </w:p>
          <w:p>
            <w:pPr>
              <w:spacing w:after="160"/>
            </w:pPr>
            <w:r>
              <w:rPr>
                <w:rStyle w:val="row-content-rich-text"/>
                <w:sz w:val="40"/>
              </w:rPr>
              <w:t xml:space="preserve">·</w:t>
            </w:r>
            <w:r>
              <w:rPr>
                <w:rStyle w:val="row-content-rich-text"/>
              </w:rPr>
              <w:t xml:space="preserve">         </w:t>
            </w:r>
            <w:r>
              <w:rPr>
                <w:rStyle w:val="row-content-rich-text"/>
                <w:sz w:val="40"/>
              </w:rPr>
              <w:t xml:space="preserve">was working in General Practice with or without specialist registration in general practice (Question 13); or</w:t>
            </w:r>
          </w:p>
          <w:p>
            <w:pPr>
              <w:spacing w:after="160"/>
            </w:pPr>
            <w:r>
              <w:rPr>
                <w:rStyle w:val="row-content-rich-text"/>
                <w:sz w:val="40"/>
              </w:rPr>
              <w:t xml:space="preserve">·</w:t>
            </w:r>
            <w:r>
              <w:rPr>
                <w:rStyle w:val="row-content-rich-text"/>
              </w:rPr>
              <w:t xml:space="preserve">         </w:t>
            </w:r>
            <w:r>
              <w:rPr>
                <w:rStyle w:val="row-content-rich-text"/>
                <w:sz w:val="40"/>
              </w:rPr>
              <w:t xml:space="preserve">has a specialist registration in medicine (including specialist registration in general practice) (Question 22).</w:t>
            </w:r>
          </w:p>
          <w:p>
            <w:pPr>
              <w:spacing w:after="160"/>
            </w:pPr>
            <w:r>
              <w:rPr>
                <w:rStyle w:val="row-content-rich-text"/>
                <w:color w:val="000000"/>
              </w:rPr>
              <w:t xml:space="preserve">The response distributions for these two survey items do not reflect what is known about specialist registrations directly from the actual registration data, nor are they consistent with the corresponding distributions from 2013.</w:t>
            </w:r>
          </w:p>
          <w:p>
            <w:pPr>
              <w:spacing w:after="160"/>
            </w:pPr>
            <w:r>
              <w:rPr>
                <w:rStyle w:val="row-content-rich-text"/>
                <w:b/>
              </w:rPr>
              <w:t xml:space="preserve">Inconsistencies between workforce survey and registration data </w:t>
            </w:r>
            <w:r>
              <w:rPr>
                <w:rStyle w:val="row-content-rich-text"/>
              </w:rPr>
              <w:t xml:space="preserve"> </w:t>
            </w:r>
          </w:p>
          <w:p>
            <w:pPr>
              <w:spacing w:after="160"/>
            </w:pPr>
            <w:r>
              <w:rPr>
                <w:rStyle w:val="row-content-rich-text"/>
                <w:color w:val="000000"/>
              </w:rPr>
              <w:t xml:space="preserve">There were a number of inconsistencies between the data sourced from the NRAS and the workforce survey data.</w:t>
            </w:r>
          </w:p>
          <w:p>
            <w:pPr>
              <w:spacing w:after="160"/>
            </w:pPr>
            <w:r>
              <w:rPr>
                <w:rStyle w:val="row-content-rich-text"/>
                <w:color w:val="000000"/>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 </w:t>
            </w:r>
          </w:p>
          <w:p>
            <w:pPr>
              <w:spacing w:after="160"/>
            </w:pPr>
            <w:r>
              <w:rPr>
                <w:rStyle w:val="row-content-rich-text"/>
                <w:color w:val="000000"/>
              </w:rPr>
              <w:t xml:space="preserve">Another small number were found to have surrendered their specialist registration between the time of the survey and the extraction of the registration data.</w:t>
            </w:r>
          </w:p>
          <w:p>
            <w:pPr>
              <w:spacing w:after="160"/>
            </w:pPr>
            <w:r>
              <w:rPr>
                <w:rStyle w:val="row-content-rich-text"/>
                <w:color w:val="000000"/>
              </w:rPr>
              <w:t xml:space="preserve">The ‘location of principal practice’ recorded in the registration data was often different from the corresponding details of a practitioner’s main job as self-reported in the survey. This may reflect temporary movement. For example, 14.5%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color w:val="000000"/>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pStyle w:val="Heading4"/>
            </w:pPr>
            <w:r>
              <w:rPr>
                <w:rStyle w:val="row-content-rich-text"/>
                <w:b/>
              </w:rPr>
              <w:t xml:space="preserve">Quality of location information</w:t>
            </w:r>
          </w:p>
          <w:p>
            <w:pPr>
              <w:spacing w:after="160"/>
            </w:pPr>
            <w:r>
              <w:rPr>
                <w:rStyle w:val="row-content-rich-text"/>
                <w:color w:val="000000"/>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 </w:t>
            </w:r>
          </w:p>
          <w:p>
            <w:pPr>
              <w:pStyle w:val="Heading4"/>
            </w:pPr>
            <w:r>
              <w:rPr>
                <w:rStyle w:val="row-content-rich-text"/>
                <w:b/>
              </w:rPr>
              <w:t xml:space="preserve">Estimation procedures </w:t>
            </w:r>
          </w:p>
          <w:p>
            <w:pPr>
              <w:spacing w:after="160"/>
            </w:pPr>
            <w:r>
              <w:rPr>
                <w:rStyle w:val="row-content-rich-text"/>
                <w:color w:val="000000"/>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 </w:t>
            </w:r>
          </w:p>
          <w:p>
            <w:pPr>
              <w:spacing w:after="160"/>
            </w:pPr>
            <w:r>
              <w:rPr>
                <w:rStyle w:val="row-content-rich-text"/>
                <w:sz w:val="40"/>
              </w:rPr>
              <w:t xml:space="preserve">·</w:t>
            </w:r>
            <w:r>
              <w:rPr>
                <w:rStyle w:val="row-content-rich-text"/>
              </w:rPr>
              <w:t xml:space="preserve">         </w:t>
            </w:r>
            <w:r>
              <w:rPr>
                <w:rStyle w:val="row-content-rich-text"/>
                <w:sz w:val="40"/>
              </w:rPr>
              <w:t xml:space="preserve">item non-response—occurs as some respondents return partially completed surveys. Some survey records were so incomplete that it was decided to omit them from the reported survey data. </w:t>
            </w:r>
          </w:p>
          <w:p>
            <w:pPr>
              <w:spacing w:after="160"/>
            </w:pPr>
            <w:r>
              <w:rPr>
                <w:rStyle w:val="row-content-rich-text"/>
                <w:sz w:val="40"/>
              </w:rPr>
              <w:t xml:space="preserve">·</w:t>
            </w:r>
            <w:r>
              <w:rPr>
                <w:rStyle w:val="row-content-rich-text"/>
              </w:rPr>
              <w:t xml:space="preserve">         </w:t>
            </w:r>
            <w:r>
              <w:rPr>
                <w:rStyle w:val="row-content-rich-text"/>
                <w:sz w:val="40"/>
              </w:rPr>
              <w:t xml:space="preserve">survey non-response—occurs because not all registered medical practitioners who receive a questionnaire respond.</w:t>
            </w:r>
          </w:p>
          <w:p>
            <w:pPr>
              <w:spacing w:after="160"/>
            </w:pPr>
            <w:r>
              <w:rPr>
                <w:rStyle w:val="row-content-rich-text"/>
                <w:color w:val="000000"/>
              </w:rPr>
              <w:t xml:space="preserve">Imputation methods are used to account for item non-response and survey non-response.</w:t>
            </w:r>
          </w:p>
          <w:p>
            <w:pPr>
              <w:pStyle w:val="Heading5"/>
            </w:pPr>
            <w:r>
              <w:rPr>
                <w:rStyle w:val="row-content-rich-text"/>
                <w:b/>
                <w:color w:val="000000"/>
              </w:rPr>
              <w:t xml:space="preserve">Imputation: estimation for item non-response</w:t>
            </w:r>
          </w:p>
          <w:p>
            <w:pPr>
              <w:spacing w:after="160"/>
            </w:pPr>
            <w:r>
              <w:rPr>
                <w:rStyle w:val="row-content-rich-text"/>
                <w:color w:val="000000"/>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color w:val="000000"/>
              </w:rPr>
              <w:t xml:space="preserve">Missing values remaining after this process are considered for their suitability for further imputation. Suitability is based on the level of non-response to that item.</w:t>
            </w:r>
          </w:p>
          <w:p>
            <w:pPr>
              <w:spacing w:after="160"/>
            </w:pPr>
            <w:r>
              <w:rPr>
                <w:rStyle w:val="row-content-rich-text"/>
                <w:color w:val="000000"/>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color w:val="000000"/>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 </w:t>
            </w:r>
          </w:p>
          <w:p>
            <w:pPr>
              <w:pStyle w:val="Heading5"/>
            </w:pPr>
            <w:r>
              <w:rPr>
                <w:rStyle w:val="row-content-rich-text"/>
                <w:b/>
                <w:color w:val="000000"/>
              </w:rPr>
              <w:t xml:space="preserve">Imputation: estimation for survey non-response</w:t>
            </w:r>
          </w:p>
          <w:p>
            <w:pPr>
              <w:spacing w:after="160"/>
            </w:pPr>
            <w:r>
              <w:rPr>
                <w:rStyle w:val="row-content-rich-text"/>
                <w:color w:val="000000"/>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color w:val="000000"/>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color w:val="000000"/>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 </w:t>
            </w:r>
          </w:p>
          <w:p>
            <w:pPr>
              <w:spacing w:after="160"/>
            </w:pPr>
            <w:r>
              <w:rPr>
                <w:rStyle w:val="row-content-rich-text"/>
                <w:color w:val="000000"/>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w:t>
            </w:r>
          </w:p>
          <w:p>
            <w:pPr/>
            <w:r>
              <w:rPr>
                <w:rStyle w:val="row-content-rich-text"/>
                <w:color w:val="000000"/>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color w:val="000000"/>
              </w:rPr>
              <w:t xml:space="preserve">Workforce Survey 2014—coherence with previous data </w:t>
            </w:r>
          </w:p>
          <w:p>
            <w:pPr>
              <w:spacing w:after="160"/>
            </w:pPr>
            <w:r>
              <w:rPr>
                <w:rStyle w:val="row-content-rich-text"/>
                <w:color w:val="000000"/>
              </w:rPr>
              <w:t xml:space="preserve">Previously published data for 2010 and 2011 include provisional registrants. As a result, growth between the published 2011 and 2012 data is understated by the order of 3.6%.</w:t>
            </w:r>
          </w:p>
          <w:p>
            <w:pPr>
              <w:spacing w:after="160"/>
            </w:pPr>
            <w:r>
              <w:rPr>
                <w:rStyle w:val="row-content-rich-text"/>
                <w:color w:val="000000"/>
              </w:rPr>
              <w:t xml:space="preserve">There were a number of additional questions and additions to questions in the survey between 2012 and 2013 and a few other minor changes in the Medical Workforce Survey data between 2012, 2013 and </w:t>
            </w:r>
            <w:r>
              <w:rPr>
                <w:rStyle w:val="row-content-rich-text"/>
                <w:color w:val="000000"/>
              </w:rPr>
              <w:t xml:space="preserve"> </w:t>
            </w:r>
            <w:r>
              <w:rPr>
                <w:rStyle w:val="row-content-rich-text"/>
                <w:color w:val="000000"/>
              </w:rPr>
              <w:t xml:space="preserve">2014, Most data from 2011 are considered comparable, though later data do provide additional detail in some cases.</w:t>
            </w:r>
          </w:p>
          <w:p>
            <w:pPr>
              <w:spacing w:after="160"/>
            </w:pPr>
            <w:r>
              <w:rPr>
                <w:rStyle w:val="row-content-rich-text"/>
                <w:color w:val="000000"/>
              </w:rPr>
              <w:t xml:space="preserve">Queensland and Western Australia did not provide data for 2010.Only minimal comparisons between the 2010 and other data can be made, and 2010 is generally excluded from analysis.</w:t>
            </w:r>
          </w:p>
          <w:p>
            <w:pPr>
              <w:spacing w:after="160"/>
            </w:pPr>
            <w:r>
              <w:rPr>
                <w:rStyle w:val="row-content-rich-text"/>
                <w:color w:val="000000"/>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2014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color w:val="000000"/>
              </w:rPr>
              <w:t xml:space="preserve">The scope and coverage of the Medical Workforce Survey from 2010 to 2014 are also different to that of the previous surveys because in some states and territories not all types of registered medical practitioners were sent a survey form. </w:t>
            </w:r>
          </w:p>
          <w:p>
            <w:pPr>
              <w:spacing w:after="160"/>
            </w:pPr>
            <w:r>
              <w:rPr>
                <w:rStyle w:val="row-content-rich-text"/>
                <w:color w:val="000000"/>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w:t>
            </w:r>
          </w:p>
          <w:p>
            <w:pPr>
              <w:spacing w:after="160"/>
            </w:pPr>
            <w:r>
              <w:rPr>
                <w:rStyle w:val="row-content-rich-text"/>
                <w:color w:val="000000"/>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pStyle w:val="Heading5"/>
            </w:pPr>
            <w:r>
              <w:rPr>
                <w:rStyle w:val="row-content-rich-text"/>
                <w:b/>
                <w:color w:val="000000"/>
              </w:rPr>
              <w:t xml:space="preserve">Speciality of practice</w:t>
            </w:r>
          </w:p>
          <w:p>
            <w:pPr>
              <w:spacing w:after="160"/>
            </w:pPr>
            <w:r>
              <w:rPr>
                <w:rStyle w:val="row-content-rich-text"/>
                <w:color w:val="000000"/>
              </w:rPr>
              <w:t xml:space="preserve">Before 2010, main specialty of practice information was self-reported by registered medical practitioners from a set of 50 statistical categories in the AIHW Medical Labour Force Survey. </w:t>
            </w:r>
          </w:p>
          <w:p>
            <w:pPr>
              <w:spacing w:after="160"/>
            </w:pPr>
            <w:r>
              <w:rPr>
                <w:rStyle w:val="row-content-rich-text"/>
                <w:color w:val="000000"/>
              </w:rPr>
              <w:t xml:space="preserve">Speciality of practice, from 2010 to 2014,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color w:val="000000"/>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color w:val="000000"/>
              </w:rPr>
              <w:t xml:space="preserve">Thus, comparison of specialty data for 2012 and later years with results from earlier surveys should be treated with caution.</w:t>
            </w:r>
          </w:p>
          <w:p>
            <w:pPr>
              <w:pStyle w:val="Heading5"/>
            </w:pPr>
            <w:r>
              <w:rPr>
                <w:rStyle w:val="row-content-rich-text"/>
                <w:b/>
                <w:color w:val="000000"/>
              </w:rPr>
              <w:t xml:space="preserve">General practitioners</w:t>
            </w:r>
          </w:p>
          <w:p>
            <w:pPr>
              <w:spacing w:after="160"/>
            </w:pPr>
            <w:r>
              <w:rPr>
                <w:rStyle w:val="row-content-rich-text"/>
                <w:color w:val="000000"/>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have led to the observed increase in responses in the ‘other clinician’ category. </w:t>
            </w:r>
          </w:p>
          <w:p>
            <w:pPr>
              <w:spacing w:after="160"/>
            </w:pPr>
            <w:r>
              <w:rPr>
                <w:rStyle w:val="row-content-rich-text"/>
                <w:color w:val="000000"/>
              </w:rPr>
              <w:t xml:space="preserve">Further refinement to the question has led to extra explanatory text being included in the survey, with the survey response for 2013 and 2014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 </w:t>
            </w:r>
          </w:p>
          <w:p>
            <w:pPr>
              <w:spacing w:after="160"/>
            </w:pPr>
            <w:r>
              <w:rPr>
                <w:rStyle w:val="row-content-rich-text"/>
                <w:color w:val="000000"/>
              </w:rPr>
              <w:t xml:space="preserve">The ‘hospital non-specialist‘ category changed to ‘hospital non-specialist (including pre-vocational doctors)‘ in 2013, but the AIHW did not find any evidence in the data for a significant effect.</w:t>
            </w:r>
          </w:p>
          <w:p>
            <w:pPr>
              <w:pStyle w:val="Heading5"/>
            </w:pPr>
            <w:r>
              <w:rPr>
                <w:rStyle w:val="row-content-rich-text"/>
                <w:b/>
                <w:color w:val="000000"/>
              </w:rPr>
              <w:t xml:space="preserve">Work settings</w:t>
            </w:r>
          </w:p>
          <w:p>
            <w:pPr>
              <w:spacing w:after="160"/>
            </w:pPr>
            <w:r>
              <w:rPr>
                <w:rStyle w:val="row-content-rich-text"/>
                <w:color w:val="000000"/>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and 2014 surveys provided a distinction between 'outpatient’ and ‘other hospital’ settings.</w:t>
            </w:r>
          </w:p>
          <w:p>
            <w:pPr>
              <w:spacing w:after="160"/>
            </w:pPr>
            <w:r>
              <w:rPr>
                <w:rStyle w:val="row-content-rich-text"/>
                <w:color w:val="000000"/>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color w:val="000000"/>
              </w:rPr>
              <w:t xml:space="preserve">In 2013, a number of additions to the survey that have carried forward into 2014 include new questions on: </w:t>
            </w:r>
          </w:p>
          <w:p>
            <w:pPr>
              <w:spacing w:after="160"/>
            </w:pPr>
            <w:r>
              <w:rPr>
                <w:rStyle w:val="row-content-rich-text"/>
                <w:sz w:val="40"/>
              </w:rPr>
              <w:t xml:space="preserve">·</w:t>
            </w:r>
            <w:r>
              <w:rPr>
                <w:rStyle w:val="row-content-rich-text"/>
              </w:rPr>
              <w:t xml:space="preserve">         </w:t>
            </w:r>
            <w:r>
              <w:rPr>
                <w:rStyle w:val="row-content-rich-text"/>
                <w:sz w:val="40"/>
              </w:rPr>
              <w:t xml:space="preserve">Overseas field of medicine for registrants employed in medicine overseas. </w:t>
            </w:r>
          </w:p>
          <w:p>
            <w:pPr>
              <w:spacing w:after="160"/>
            </w:pPr>
            <w:r>
              <w:rPr>
                <w:rStyle w:val="row-content-rich-text"/>
                <w:sz w:val="40"/>
              </w:rPr>
              <w:t xml:space="preserve">·</w:t>
            </w:r>
            <w:r>
              <w:rPr>
                <w:rStyle w:val="row-content-rich-text"/>
              </w:rPr>
              <w:t xml:space="preserve">         </w:t>
            </w:r>
            <w:r>
              <w:rPr>
                <w:rStyle w:val="row-content-rich-text"/>
                <w:sz w:val="40"/>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asked what their position in the hospital was.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also asked if it was their intent to study to become a specialist and what specialty they were intending to study. </w:t>
            </w:r>
          </w:p>
          <w:p>
            <w:pPr>
              <w:spacing w:after="160"/>
            </w:pPr>
            <w:r>
              <w:rPr>
                <w:rStyle w:val="row-content-rich-text"/>
                <w:color w:val="000000"/>
              </w:rPr>
              <w:t xml:space="preserve">Other changes include: </w:t>
            </w:r>
          </w:p>
          <w:p>
            <w:pPr>
              <w:spacing w:after="160"/>
            </w:pPr>
            <w:r>
              <w:rPr>
                <w:rStyle w:val="row-content-rich-text"/>
                <w:sz w:val="40"/>
              </w:rPr>
              <w:t xml:space="preserve">·</w:t>
            </w:r>
            <w:r>
              <w:rPr>
                <w:rStyle w:val="row-content-rich-text"/>
              </w:rPr>
              <w:t xml:space="preserve">         </w:t>
            </w:r>
            <w:r>
              <w:rPr>
                <w:rStyle w:val="row-content-rich-text"/>
                <w:sz w:val="40"/>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spacing w:after="160"/>
            </w:pPr>
            <w:r>
              <w:rPr>
                <w:rStyle w:val="row-content-rich-text"/>
                <w:sz w:val="40"/>
              </w:rPr>
              <w:t xml:space="preserve">·</w:t>
            </w:r>
            <w:r>
              <w:rPr>
                <w:rStyle w:val="row-content-rich-text"/>
              </w:rPr>
              <w:t xml:space="preserve">         </w:t>
            </w:r>
            <w:r>
              <w:rPr>
                <w:rStyle w:val="row-content-rich-text"/>
                <w:sz w:val="40"/>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spacing w:after="160"/>
            </w:pPr>
            <w:r>
              <w:rPr>
                <w:rStyle w:val="row-content-rich-text"/>
                <w:sz w:val="40"/>
              </w:rPr>
              <w:t xml:space="preserve">·</w:t>
            </w:r>
            <w:r>
              <w:rPr>
                <w:rStyle w:val="row-content-rich-text"/>
              </w:rPr>
              <w:t xml:space="preserve">         </w:t>
            </w:r>
            <w:r>
              <w:rPr>
                <w:rStyle w:val="row-content-rich-text"/>
                <w:sz w:val="40"/>
              </w:rPr>
              <w:t xml:space="preserve">The 2012 online version of the survey potentially allowed up to 7 specialties of training but this was not apparently intended. </w:t>
            </w:r>
          </w:p>
          <w:p>
            <w:pPr>
              <w:spacing w:after="160"/>
            </w:pPr>
            <w:r>
              <w:rPr>
                <w:rStyle w:val="row-content-rich-text"/>
                <w:sz w:val="40"/>
              </w:rPr>
              <w:t xml:space="preserve">·</w:t>
            </w:r>
            <w:r>
              <w:rPr>
                <w:rStyle w:val="row-content-rich-text"/>
              </w:rPr>
              <w:t xml:space="preserve">         </w:t>
            </w:r>
            <w:r>
              <w:rPr>
                <w:rStyle w:val="row-content-rich-text"/>
                <w:sz w:val="40"/>
              </w:rPr>
              <w:t xml:space="preserve">Specialists were asked to identify how many hours they worked in each of their specialties and the primary specialty was chosen on the basis of the maximum number of hours worked. </w:t>
            </w:r>
          </w:p>
          <w:p>
            <w:pPr>
              <w:spacing w:after="160"/>
            </w:pPr>
            <w:r>
              <w:rPr>
                <w:rStyle w:val="row-content-rich-text"/>
                <w:sz w:val="40"/>
              </w:rPr>
              <w:t xml:space="preserve">·</w:t>
            </w:r>
            <w:r>
              <w:rPr>
                <w:rStyle w:val="row-content-rich-text"/>
              </w:rPr>
              <w:t xml:space="preserve">         </w:t>
            </w:r>
            <w:r>
              <w:rPr>
                <w:rStyle w:val="row-content-rich-text"/>
                <w:sz w:val="40"/>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r>
              <w:rPr>
                <w:rStyle w:val="row-content-rich-text"/>
                <w:color w:val="000000"/>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9fc29dc304a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5a67847a1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c29dc304a4064" /><Relationship Type="http://schemas.openxmlformats.org/officeDocument/2006/relationships/header" Target="/word/header1.xml" Id="R62e1d286ef3a4ce8" /><Relationship Type="http://schemas.openxmlformats.org/officeDocument/2006/relationships/settings" Target="/word/settings.xml" Id="Rb60d6edee6ae4f00" /><Relationship Type="http://schemas.openxmlformats.org/officeDocument/2006/relationships/styles" Target="/word/styles.xml" Id="R9f7cc45df05c4b63" /><Relationship Type="http://schemas.openxmlformats.org/officeDocument/2006/relationships/hyperlink" Target="https://meteor.aihw.gov.au/RegistrationAuthority/5" TargetMode="External" Id="Rc2c90a0b1fa44e90" /><Relationship Type="http://schemas.openxmlformats.org/officeDocument/2006/relationships/hyperlink" Target="http://www.medicalboard.gov.au/Registration/Types/General-Registration.aspx" TargetMode="External" Id="R57ba5493c5974583" /><Relationship Type="http://schemas.openxmlformats.org/officeDocument/2006/relationships/hyperlink" Target="http://www.aihw.gov.au/workforce/medical/" TargetMode="External" Id="R565c824e97cc467e" /><Relationship Type="http://schemas.openxmlformats.org/officeDocument/2006/relationships/hyperlink" Target="http://www.aihw.gov.au/custom-data-request-service/" TargetMode="External" Id="R6da916f7ad274f45" /><Relationship Type="http://schemas.openxmlformats.org/officeDocument/2006/relationships/hyperlink" Target="mailto:info@aihw.gov.au" TargetMode="External" Id="Rf871046b404a4a17" /><Relationship Type="http://schemas.openxmlformats.org/officeDocument/2006/relationships/hyperlink" Target="http://www.aihw.gov.au/workforce/medical/" TargetMode="External" Id="Ra638a9f73c5540e4" /></Relationships>
</file>

<file path=word/_rels/header1.xml.rels>&#65279;<?xml version="1.0" encoding="utf-8"?><Relationships xmlns="http://schemas.openxmlformats.org/package/2006/relationships"><Relationship Type="http://schemas.openxmlformats.org/officeDocument/2006/relationships/image" Target="/media/image.png" Id="R4745a67847a14196" /></Relationships>
</file>