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b3993bdb8d4a88" /></Relationships>
</file>

<file path=word/document.xml><?xml version="1.0" encoding="utf-8"?>
<w:document xmlns:r="http://schemas.openxmlformats.org/officeDocument/2006/relationships" xmlns:w="http://schemas.openxmlformats.org/wordprocessingml/2006/main">
  <w:body>
    <w:p>
      <w:pPr>
        <w:pStyle w:val="Title"/>
      </w:pPr>
      <w:r>
        <w:t>Adoptions Australia Data Quality Statement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Data Quality Statement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625060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08dd2c25c49f5">
              <w:r>
                <w:rPr>
                  <w:rStyle w:val="Hyperlink"/>
                  <w:color w:val="244061"/>
                </w:rPr>
                <w:t xml:space="preserve">AIHW Data Quality Statements</w:t>
              </w:r>
            </w:hyperlink>
            <w:r>
              <w:rPr>
                <w:rStyle w:val="row-content"/>
                <w:color w:val="244061"/>
              </w:rPr>
              <w:t xml:space="preserve">, Superseded 19/12/2016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The Adoptions Australia collection contains data on adopted children, their adoptive families and birth mothers,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spacing w:after="160"/>
            </w:pPr>
            <w:r>
              <w:rPr>
                <w:rStyle w:val="row-content-rich-text"/>
              </w:rPr>
              <w:t xml:space="preserve">•  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attribute disclosure. Further, disaggregation of analyses by Indigenous status is not possible due to the small number of Indigenous children covered by the collection each year.</w:t>
            </w:r>
          </w:p>
          <w:p>
            <w:pPr>
              <w:spacing w:after="160"/>
            </w:pPr>
            <w:r>
              <w:rPr>
                <w:rStyle w:val="row-content-rich-text"/>
              </w:rPr>
              <w:t xml:space="preserve">•  The Australian Institute of Health and Welfare (AIHW) compiles the data each year using data extracted from the administrative systems of the state and territory departments responsible for adoptions. Some data are also provided by the Department of Immigration and Border Protection.</w:t>
            </w:r>
          </w:p>
          <w:p>
            <w:pPr/>
            <w:r>
              <w:rPr>
                <w:rStyle w:val="row-content-rich-text"/>
              </w:rPr>
              <w:t xml:space="preserve">•  Overall, the quality and coverage of data in the Adoptions Australia collection is good. Data are only partially available for 3 of the 27 collection tables (1 jurisdiction was unable to provide or only able to partially provide data), and data are rarely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statutory authority, which is governed by a management board,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analyse the data sets, and disseminate information and statistics.</w:t>
            </w:r>
          </w:p>
          <w:p>
            <w:pPr>
              <w:spacing w:after="160"/>
            </w:pPr>
            <w:r>
              <w:rPr>
                <w:rStyle w:val="row-content-rich-text"/>
              </w:rPr>
              <w:t xml:space="preserve">Compliance with the provisions of both the Australian Institute of Health and Welfare Act and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r>
              <w:rPr>
                <w:rStyle w:val="row-content-rich-text"/>
              </w:rPr>
              <w:t xml:space="preserve">For further information, see </w:t>
            </w:r>
            <w:hyperlink w:history="true" r:id="R80c892946d5c48a9">
              <w:r>
                <w:rPr>
                  <w:rStyle w:val="Hyperlink"/>
                </w:rPr>
                <w:t xml:space="preserve">www.aihw.gov.au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2014–15</w:t>
            </w:r>
            <w:r>
              <w:rPr>
                <w:rStyle w:val="row-content-rich-text"/>
              </w:rPr>
              <w:t xml:space="preserve"> is from 1 July 2014 to 30 June 2015. The data set includes information related to all intercountry, local and known adoption orders finalised during this period, as well as limited information on placements that took place during this period.</w:t>
            </w:r>
          </w:p>
          <w:p>
            <w:pPr>
              <w:spacing w:after="160"/>
            </w:pPr>
            <w:r>
              <w:rPr>
                <w:rStyle w:val="row-content-rich-text"/>
              </w:rPr>
              <w:t xml:space="preserve">The state and territory departments responsible for adoption provide data to the AIHW annually, following the end of each financial year. For the 2014–15 collection, the first iteration of data was due to the AIHW 6 weeks after the end of the financial year (by 7 August 2015), and data were finalised for all states and territories by 1 September 2015.</w:t>
            </w:r>
          </w:p>
          <w:p>
            <w:pPr>
              <w:spacing w:after="160"/>
            </w:pPr>
            <w:r>
              <w:rPr>
                <w:rStyle w:val="row-content-rich-text"/>
              </w:rPr>
              <w:t xml:space="preserve">The data for each collection period are released in the AIHW’s Adoptions Australia annual publication. In 2014–15, concurrent with the annual publication, key findings were released in an online snapshot, and, for intercountry adoption data, through an interactive web portal.</w:t>
            </w:r>
          </w:p>
          <w:p>
            <w:pPr/>
            <w:r>
              <w:rPr>
                <w:rStyle w:val="row-content-rich-text"/>
              </w:rPr>
              <w:t xml:space="preserve">Data from the Adoptions Australia collection are expected to be published in December of the final year of the reference period (that is, within 6 months after the end of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e670b74b54ee4091">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info@aihw.gov.au. A cost recovery charge might apply to complicated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4902462289ec42c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at Appendix B of </w:t>
            </w:r>
            <w:r>
              <w:rPr>
                <w:rStyle w:val="row-content-rich-text"/>
                <w:i/>
              </w:rPr>
              <w:t xml:space="preserve">Adoptions Australia 2014–15</w:t>
            </w:r>
            <w:r>
              <w:rPr>
                <w:rStyle w:val="row-content-rich-text"/>
              </w:rPr>
              <w:t xml:space="preserve">. Supporting information is also provided in the footnotes to tables and in the Glossary. The AGD—the Australian Central Authority for intercountry adoption—provides expert advice on current intercountry adoption programs, which is incorporated into the report to inform and contextualise analyses.</w:t>
            </w:r>
          </w:p>
          <w:p>
            <w:pPr>
              <w:spacing w:after="160"/>
            </w:pPr>
            <w:r>
              <w:rPr>
                <w:rStyle w:val="row-content-rich-text"/>
              </w:rPr>
              <w:t xml:space="preserve">Chapter 2 of </w:t>
            </w:r>
            <w:r>
              <w:rPr>
                <w:rStyle w:val="row-content-rich-text"/>
                <w:i/>
              </w:rPr>
              <w:t xml:space="preserve">Adoptions Australia 2014–15</w:t>
            </w:r>
            <w:r>
              <w:rPr>
                <w:rStyle w:val="row-content-rich-text"/>
              </w:rPr>
              <w:t xml:space="preserve">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 </w:t>
            </w:r>
            <w:hyperlink w:history="true" r:id="Raf4107d50ef9464c">
              <w:r>
                <w:rPr>
                  <w:rStyle w:val="Hyperlink"/>
                </w:rPr>
                <w:t xml:space="preserve">/content/index.phtml/itemId/467027</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for Australia. As well as providing information on the current period, the collection also allows for comparable trend data to be looked at.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adoption placements, and finalisations that occurred during the reporting period (that is, the 2014–15 reporting period would include data from 1 July 2014 to 30 June 2015). These data allow for analyses of the adopted child,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looked at. In addition, data from the Department of Immigration and Border Protection on the number of visas issued for expatriate adoption and the countries of origin for these adoptions provide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where the data for the collection are sourced is presented in Chapter 1 of Adoptions Australia 2014–15.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spacing w:after="160"/>
            </w:pPr>
            <w:r>
              <w:rPr>
                <w:rStyle w:val="row-content-rich-text"/>
              </w:rPr>
              <w:t xml:space="preserve">•  Finalisations—Children whose adoption orders were finalised during the reporting period. This includes orders made in Australia, and, in the case of some intercountry adoptions, where the full adoption order was made in the country of origin.</w:t>
            </w:r>
          </w:p>
          <w:p>
            <w:pPr>
              <w:spacing w:after="160"/>
            </w:pPr>
            <w:r>
              <w:rPr>
                <w:rStyle w:val="row-content-rich-text"/>
              </w:rPr>
              <w:t xml:space="preserve"> </w:t>
            </w:r>
          </w:p>
          <w:p>
            <w:pPr>
              <w:spacing w:after="160"/>
            </w:pPr>
            <w:r>
              <w:rPr>
                <w:rStyle w:val="row-content-rich-text"/>
              </w:rPr>
              <w:t xml:space="preserve">•  Placements—Children, regardless of the status of their adoption order, who were placed with their adoptive families (that is, entered the home) during the reporting period.</w:t>
            </w:r>
          </w:p>
          <w:p>
            <w:pPr>
              <w:spacing w:after="160"/>
            </w:pPr>
            <w:r>
              <w:rPr>
                <w:rStyle w:val="row-content-rich-text"/>
              </w:rPr>
              <w:t xml:space="preserve">There can be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Attribute disclosure</w:t>
            </w:r>
          </w:p>
          <w:p>
            <w:pPr>
              <w:spacing w:after="160"/>
            </w:pPr>
            <w:r>
              <w:rPr>
                <w:rStyle w:val="row-content-rich-text"/>
              </w:rPr>
              <w:t xml:space="preserve">Due to the small size of the population covered by the collection, the potential for small cells is high. However, the risk of sensitive attribute disclosure is considered low, because:</w:t>
            </w:r>
          </w:p>
          <w:p>
            <w:pPr>
              <w:spacing w:after="160"/>
            </w:pPr>
            <w:r>
              <w:rPr>
                <w:rStyle w:val="row-content-rich-text"/>
              </w:rPr>
              <w:t xml:space="preserve">•  most report tables are aggregated to a national level</w:t>
            </w:r>
          </w:p>
          <w:p>
            <w:pPr>
              <w:spacing w:after="160"/>
            </w:pPr>
            <w:r>
              <w:rPr>
                <w:rStyle w:val="row-content-rich-text"/>
              </w:rPr>
              <w:t xml:space="preserve">•  there is the possibility that an observed placement is not finalised in the year it occurred (making the population of finalised adoption orders in a report difficult to observe, and, therefore, it is difficult to determine whether information about an observed adoptee is present in a particular report)</w:t>
            </w:r>
          </w:p>
          <w:p>
            <w:pPr/>
            <w:r>
              <w:rPr>
                <w:rStyle w:val="row-content-rich-text"/>
              </w:rPr>
              <w:t xml:space="preserve">•  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2014–15, of the 27 data tables in the aggregate collection:</w:t>
            </w:r>
          </w:p>
          <w:p>
            <w:pPr>
              <w:spacing w:after="160"/>
            </w:pPr>
            <w:r>
              <w:rPr>
                <w:rStyle w:val="row-content-rich-text"/>
              </w:rPr>
              <w:t xml:space="preserve">•  only 3 tables did not contain data for all jurisdictions, as New South Wales was unable to provide data for 2 tables and Western Australia for 1 table</w:t>
            </w:r>
          </w:p>
          <w:p>
            <w:pPr>
              <w:spacing w:after="160"/>
            </w:pPr>
            <w:r>
              <w:rPr>
                <w:rStyle w:val="row-content-rich-text"/>
              </w:rPr>
              <w:t xml:space="preserve">•  3 tables contain data recorded as unknown but no tables had an unknown category which comprised more than 1% of the data supplied.</w:t>
            </w:r>
          </w:p>
          <w:p>
            <w:pPr>
              <w:spacing w:after="160"/>
            </w:pPr>
            <w:r>
              <w:rPr>
                <w:rStyle w:val="row-content-rich-text"/>
                <w:b/>
              </w:rPr>
              <w:t xml:space="preserve">Limitations in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 (for known child adoptions, this is further constrained by the level of involvement the department has in the adoption process), and the capacity of countries of origin to capture relevant information about children and their families.</w:t>
            </w:r>
          </w:p>
          <w:p>
            <w:pPr>
              <w:spacing w:after="160"/>
            </w:pPr>
            <w:r>
              <w:rPr>
                <w:rStyle w:val="row-content-rich-text"/>
              </w:rPr>
              <w:t xml:space="preserve">For intercountry adoptees, it is common for only minimal information about the child’s history to be available. For example, many children placed for adoption in China have been abandoned with very little or no information about their social, health or family background (IAA 2015). A United States study found that prospective parents adopting from Korea received more information about the child’s birth family, prenatal circumstances and perinatal events than those adopting from China, parts of Eastern Europe, Latin America (primarily Guatemala), the Philippines and India (Welsh et al. 2008) .</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u w:val="single"/>
              </w:rPr>
              <w:t xml:space="preserve">Parents and families</w:t>
            </w:r>
            <w:r>
              <w:rPr>
                <w:rStyle w:val="row-content-rich-text"/>
                <w:i/>
              </w:rPr>
              <w:t xml:space="preserve"> </w:t>
            </w:r>
          </w:p>
          <w:p>
            <w:pPr>
              <w:spacing w:after="160"/>
            </w:pPr>
            <w:r>
              <w:rPr>
                <w:rStyle w:val="row-content-rich-text"/>
                <w:i/>
              </w:rPr>
              <w:t xml:space="preserve">Adoptive families</w:t>
            </w:r>
          </w:p>
          <w:p>
            <w:pPr>
              <w:spacing w:after="160"/>
            </w:pPr>
            <w:r>
              <w:rPr>
                <w:rStyle w:val="row-content-rich-text"/>
              </w:rPr>
              <w:t xml:space="preserve">While reasonable demographic information on adoptive families is available for intercountry and local adoptions, comparable national data for known child adoptions are not currently available. For step-parent adoptions, this is due to the limited involvement of the state and territory departments responsible for adoption in the process. Information on adoptive families involved in carer adoptions is more likely to be available on other administrative systems, but the availability of these data across all states and territories requires investigation. With the growing proportion of carer adoptions in the Australian adoption context, this information will become increasingly important to understanding adoption in Australia.</w:t>
            </w:r>
          </w:p>
          <w:p>
            <w:pPr>
              <w:spacing w:after="160"/>
            </w:pPr>
            <w:r>
              <w:rPr>
                <w:rStyle w:val="row-content-rich-text"/>
                <w:i/>
              </w:rPr>
              <w:t xml:space="preserve">Families of intercountry adoptees</w:t>
            </w:r>
          </w:p>
          <w:p>
            <w:pPr>
              <w:spacing w:after="160"/>
            </w:pPr>
            <w:r>
              <w:rPr>
                <w:rStyle w:val="row-content-rich-text"/>
              </w:rPr>
              <w:t xml:space="preserve">An adopted child’s ability to adjust can be affected by the quality of relationships in the adoptive family. Unrealistic or rigid parental expectations, especially around the adopted child’s meeting of academic standards or societal norms, can interfere with adjustment (Passmore et al. 2009). The more informed adoptive parents can be about the child’s developmental or physical disabilities or chronic medical conditions (where relevant), the more capable they are of realistically anticipating problems. This, in turn, has been found to lead to more positive adjustment outcomes (Bornstein 2002).</w:t>
            </w:r>
          </w:p>
          <w:p>
            <w:pPr>
              <w:spacing w:after="160"/>
            </w:pPr>
            <w:r>
              <w:rPr>
                <w:rStyle w:val="row-content-rich-text"/>
              </w:rPr>
              <w:t xml:space="preserve">While research indicates the importance of adoptive parents’ access to historical information in improving post-adoption outcomes,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u w:val="single"/>
              </w:rPr>
              <w:t xml:space="preserve">Processing times for local and known child adoptions</w:t>
            </w:r>
          </w:p>
          <w:p>
            <w:pPr>
              <w:spacing w:after="160"/>
            </w:pPr>
            <w:r>
              <w:rPr>
                <w:rStyle w:val="row-content-rich-text"/>
              </w:rPr>
              <w:t xml:space="preserve">Adoption process timeframes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this report provide an indication of the time involved in the intercountry adoption process and changes over time. However, data are not currently nationally available for the other types of adoption. For carer adoptions, complexities around when the process should be considered to have commenced make it difficult to capture nationally comparable data. The availability of data on processing times for local adoptions has not currently been explored. These data could provide useful information on the similarities or differences between types of adoption.</w:t>
            </w:r>
          </w:p>
          <w:p>
            <w:pPr>
              <w:spacing w:after="160"/>
            </w:pPr>
            <w:r>
              <w:rPr>
                <w:rStyle w:val="row-content-rich-text"/>
                <w:u w:val="single"/>
              </w:rPr>
              <w:t xml:space="preserve">Prospective adoptive parents and children available for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The availability of similar data for local adoptions and for carers who have also been authorised as potential adoptive parents has not currently been explored.</w:t>
            </w:r>
          </w:p>
          <w:p>
            <w:pPr>
              <w:spacing w:after="160"/>
            </w:pPr>
            <w:r>
              <w:rPr>
                <w:rStyle w:val="row-content-rich-text"/>
              </w:rPr>
              <w:t xml:space="preserve">Similarly, there is currently no way of determining the current population of children available for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u w:val="single"/>
              </w:rPr>
              <w:t xml:space="preserve">Adoptions of children with special needs</w:t>
            </w:r>
          </w:p>
          <w:p>
            <w:pPr>
              <w:spacing w:after="160"/>
            </w:pPr>
            <w:r>
              <w:rPr>
                <w:rStyle w:val="row-content-rich-text"/>
              </w:rPr>
              <w:t xml:space="preserve">Due to complexities in determining a consistent definition of ‘special needs’, data on the adoption of children with special needs are not currently available in Australia. These data would help to further describe the population of children available for adoption, inform prospective adoptive parents, and provide an indication of the types of supports required before and after adoption.</w:t>
            </w:r>
          </w:p>
          <w:p>
            <w:pPr>
              <w:spacing w:after="160"/>
            </w:pPr>
            <w:r>
              <w:rPr>
                <w:rStyle w:val="row-content-rich-text"/>
              </w:rPr>
              <w:t xml:space="preserve"> ‘Special needs’, for the purposes of adoption, is not legally defined in Australia and countries of origin classify cases of special needs differently. However, in addition to mental or physical disabilities, behavioural problems and/or emotional disorders, the term is also often applied (in the context of adoption) to a broad range of conditions deemed to pose potential barriers to the permanent placement of a child and/or affect the outcome of an adoption (HCCH 2005; Tan et al. 2007).</w:t>
            </w:r>
          </w:p>
          <w:p>
            <w:pPr>
              <w:spacing w:after="160"/>
            </w:pPr>
            <w:r>
              <w:rPr>
                <w:rStyle w:val="row-content-rich-text"/>
              </w:rPr>
              <w:t xml:space="preserve">Older children, and children who are part of a sibling group that is to be placed with the same adoptive family, might be considered as having special needs due to the added difficulty in finding a suitable family (Tan et al. 2007). For example, for local adoptions, Australian Central Authorities might consider children aged over 4 as having special needs, as they are likely to have been placed with multiple carers and have had fewer opportunities to develop close relationships with any one. Further, many of these children have had a history of deprivation, abandonment and trauma, which can leave them with developmental delays and emotional vulnerabilities, requiring long-term therapeutic and intensive parenting to promote secure attachments (HCCH 2005; Roberson 2006; Spark et al. 2008).</w:t>
            </w:r>
          </w:p>
          <w:p>
            <w:pPr>
              <w:spacing w:after="160"/>
            </w:pPr>
            <w:r>
              <w:rPr>
                <w:rStyle w:val="row-content-rich-text"/>
                <w:u w:val="single"/>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Emotional support provided to adoptive parents by family and friends is also important for the success of an adoption (Spark et al. 2008). In 2009, the Intercountry Adoption Harmonisation Working Group announced the completion of the Nationally Consistent Core Curriculum. This is a framework consisting of 9 compulsory education and training units that help prospective adoptive parents understand and develop realistic expectations about the adoption process (AGD 2012). Such initiatives help make pre-adoption services more widely available across Australia.</w:t>
            </w:r>
          </w:p>
          <w:p>
            <w:pPr>
              <w:spacing w:after="160"/>
            </w:pPr>
            <w:r>
              <w:rPr>
                <w:rStyle w:val="row-content-rich-text"/>
              </w:rPr>
              <w:t xml:space="preserve">Previous studies have highlighted some post-adoption support services needed by adoptive parents. These are particularly important for adoptive families of children with special needs. These services include support or counselling services, respite care services, financial support, advocacy services, support for siblings, special education services, emergency assistance, and crisis intervention services (Reilly &amp; Platz 2008).</w:t>
            </w:r>
          </w:p>
          <w:p>
            <w:pPr>
              <w:spacing w:after="160"/>
            </w:pPr>
            <w:r>
              <w:rPr>
                <w:rStyle w:val="row-content-rich-text"/>
              </w:rPr>
              <w:t xml:space="preserve">The importance of post-adoption support services has also been acknowledged in other countries. A recent report from the Parliament of the United Kingdom Select Committee on Adoption Legislation (2013) recommended the introduction of a statutory duty on local authorities and service providers to cooperate to provide post-adoption support.</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 (Banks 2009).</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cannot be explored.</w:t>
            </w:r>
          </w:p>
          <w:p>
            <w:pPr>
              <w:spacing w:after="160"/>
            </w:pPr>
            <w:r>
              <w:rPr>
                <w:rStyle w:val="row-content-rich-text"/>
                <w:u w:val="single"/>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Government's Attorney-General’s Department (AGD) and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(WELSTAT) (from 1987–88 to 1989–90) and the Australian Bureau of Statistics (ABS) (from 1979–80 to 1984–85). No national data were collected in 1985–86 and 1986–87, resulting in a break in trend data for these years.</w:t>
            </w:r>
          </w:p>
          <w:p>
            <w:pPr>
              <w:spacing w:after="160"/>
            </w:pPr>
            <w:r>
              <w:rPr>
                <w:rStyle w:val="row-content-rich-text"/>
              </w:rPr>
              <w:t xml:space="preserve">From the 1998–99 report onwards, the categories of adoption used in Adoptions Australia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 (AIHW 2010a).</w:t>
            </w:r>
          </w:p>
          <w:p>
            <w:pPr>
              <w:spacing w:after="160"/>
            </w:pPr>
            <w:r>
              <w:rPr>
                <w:rStyle w:val="row-content-rich-text"/>
              </w:rPr>
              <w:t xml:space="preserve">Tables that have been consistently collected from 1990–91 onwards are comparable. In addition, data standards were carried over from the ABS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and the separate report was ceased.</w:t>
            </w:r>
          </w:p>
          <w:p>
            <w:pPr>
              <w:spacing w:after="160"/>
            </w:pPr>
            <w:r>
              <w:rPr>
                <w:rStyle w:val="row-content-rich-text"/>
              </w:rPr>
              <w:t xml:space="preserve">In 2010, the AGD also began collecting data on activity in each intercountry adoption program from the states and territories on a 6-monthly basis. The data are reported on a calendar year basis, and include the total number of approved intercountry adoption applications, files sent overseas and placement proposals. The AIHW Adoptions Australia report does not include placement proposals (when a partner country matches a child (or children) with Australian parents, and a formal placement proposal is sent to Australia).</w:t>
            </w:r>
          </w:p>
          <w:p>
            <w:pPr/>
            <w:r>
              <w:rPr>
                <w:rStyle w:val="row-content-rich-text"/>
              </w:rPr>
              <w:t xml:space="preserve">Placement proposals do not always refer to a single child—a proposal might refer to a sibling group, and there will be a delay between a placement proposal being accepted and the child’s arrival in Australia (AGD 2014). While both the AGD collection and Adoptions Australia collection contain information on the number of adoption applications and files sent overseas, the reporting periods of the 2 collections and the definitions underlying the data differ. For example, the AGD counts applications for the calendar year and includes applications with an assigned country of origin already sent and waiting overseas, and applications approved but queued in Australia. In contrast, the applications data reported in the Adoptions Australia reports are for the financial year, and include only new applications approved by the department during this period, regardless of whether a country of origin has been assigned. So caution should be exercised when comparing these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AGD (Australian Government Attorney-General’s Department) 2012. Intercountry Adoption Harmonisation Working Group—Nationally consistent core curriculum (NCCC) for parents considering intercountry adoption. Canberra: AGD. Bornstein MH 2002. Handbook of parenting: children and parenting, vol. 1, 2nd edn. New Jersey: Lawrence Erlbaum Associates. HCCH (Hague Conference on Private International Law) 2005. Country profile for intercountry adoption receiving state: Australia. Netherlands: HCCH. Viewed 30 September 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f2c47cc3ba458f">
              <w:r>
                <w:rPr>
                  <w:rStyle w:val="Hyperlink"/>
                </w:rPr>
                <w:t xml:space="preserve">Adoptions Australia Data Quality Statement 2013–14</w:t>
              </w:r>
            </w:hyperlink>
          </w:p>
          <w:p>
            <w:pPr>
              <w:spacing w:before="0" w:after="0"/>
            </w:pPr>
            <w:r>
              <w:rPr>
                <w:rStyle w:val="row-content"/>
                <w:color w:val="244061"/>
              </w:rPr>
              <w:t xml:space="preserve">       </w:t>
            </w:r>
            <w:hyperlink w:history="true" r:id="R45f8a35bf9df4c66">
              <w:r>
                <w:rPr>
                  <w:rStyle w:val="Hyperlink"/>
                  <w:color w:val="244061"/>
                </w:rPr>
                <w:t xml:space="preserve">AIHW Data Quality Statements</w:t>
              </w:r>
            </w:hyperlink>
            <w:r>
              <w:rPr>
                <w:rStyle w:val="row-content"/>
                <w:color w:val="244061"/>
              </w:rPr>
              <w:t xml:space="preserve">, Superseded 16/12/2015</w:t>
            </w:r>
          </w:p>
          <w:p>
            <w:r>
              <w:br/>
            </w:r>
            <w:r>
              <w:rPr>
                <w:rStyle w:val="row-content"/>
              </w:rPr>
              <w:t xml:space="preserve">Has been superseded by </w:t>
            </w:r>
            <w:hyperlink w:history="true" r:id="Rc1b708193b5649ea">
              <w:r>
                <w:rPr>
                  <w:rStyle w:val="Hyperlink"/>
                </w:rPr>
                <w:t xml:space="preserve">Adoptions Australia Data Quality Statement 2015–16</w:t>
              </w:r>
            </w:hyperlink>
          </w:p>
          <w:p>
            <w:pPr>
              <w:spacing w:before="0" w:after="0"/>
            </w:pPr>
            <w:r>
              <w:rPr>
                <w:rStyle w:val="row-content"/>
                <w:color w:val="244061"/>
              </w:rPr>
              <w:t xml:space="preserve">       </w:t>
            </w:r>
            <w:hyperlink w:history="true" r:id="Refeb09b291f74063">
              <w:r>
                <w:rPr>
                  <w:rStyle w:val="Hyperlink"/>
                  <w:color w:val="244061"/>
                </w:rPr>
                <w:t xml:space="preserve">AIHW Data Quality Statements</w:t>
              </w:r>
            </w:hyperlink>
            <w:r>
              <w:rPr>
                <w:rStyle w:val="row-content"/>
                <w:color w:val="244061"/>
              </w:rPr>
              <w:t xml:space="preserve">, Superseded 13/12/2017</w:t>
            </w:r>
          </w:p>
          <w:p>
            <w:r>
              <w:br/>
            </w:r>
          </w:p>
        </w:tc>
      </w:tr>
    </w:tbl>
    <w:p>
      <w:r>
        <w:br/>
      </w:r>
    </w:p>
    <w:sectPr>
      <w:footerReference xmlns:r="http://schemas.openxmlformats.org/officeDocument/2006/relationships" w:type="default" r:id="R5efaedfc1f1943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625060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f2470cbea84e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faedfc1f19431a" /><Relationship Type="http://schemas.openxmlformats.org/officeDocument/2006/relationships/header" Target="/word/header1.xml" Id="R34211ee9786d4740" /><Relationship Type="http://schemas.openxmlformats.org/officeDocument/2006/relationships/settings" Target="/word/settings.xml" Id="R536e945f5eff4d3e" /><Relationship Type="http://schemas.openxmlformats.org/officeDocument/2006/relationships/styles" Target="/word/styles.xml" Id="Reee977edc2314945" /><Relationship Type="http://schemas.openxmlformats.org/officeDocument/2006/relationships/hyperlink" Target="https://meteor.aihw.gov.au/RegistrationAuthority/5" TargetMode="External" Id="R04008dd2c25c49f5" /><Relationship Type="http://schemas.openxmlformats.org/officeDocument/2006/relationships/hyperlink" Target="http://www.aihw.gov.au" TargetMode="External" Id="R80c892946d5c48a9" /><Relationship Type="http://schemas.openxmlformats.org/officeDocument/2006/relationships/hyperlink" Target="http://www.aihw.gov.au" TargetMode="External" Id="Re670b74b54ee4091" /><Relationship Type="http://schemas.openxmlformats.org/officeDocument/2006/relationships/hyperlink" Target="mailto:info@aihw.gov.au" TargetMode="External" Id="R4902462289ec42c1" /><Relationship Type="http://schemas.openxmlformats.org/officeDocument/2006/relationships/hyperlink" Target="https://meteor.aihw.gov.au/content/467027" TargetMode="External" Id="Raf4107d50ef9464c" /><Relationship Type="http://schemas.openxmlformats.org/officeDocument/2006/relationships/hyperlink" Target="https://meteor.aihw.gov.au/content/596419" TargetMode="External" Id="Rc8f2c47cc3ba458f" /><Relationship Type="http://schemas.openxmlformats.org/officeDocument/2006/relationships/hyperlink" Target="https://meteor.aihw.gov.au/RegistrationAuthority/5" TargetMode="External" Id="R45f8a35bf9df4c66" /><Relationship Type="http://schemas.openxmlformats.org/officeDocument/2006/relationships/hyperlink" Target="https://meteor.aihw.gov.au/content/659866" TargetMode="External" Id="Rc1b708193b5649ea" /><Relationship Type="http://schemas.openxmlformats.org/officeDocument/2006/relationships/hyperlink" Target="https://meteor.aihw.gov.au/RegistrationAuthority/5" TargetMode="External" Id="Refeb09b291f74063" /></Relationships>
</file>

<file path=word/_rels/header1.xml.rels>&#65279;<?xml version="1.0" encoding="utf-8"?><Relationships xmlns="http://schemas.openxmlformats.org/package/2006/relationships"><Relationship Type="http://schemas.openxmlformats.org/officeDocument/2006/relationships/image" Target="/media/image.png" Id="Rfaf2470cbea84e96" /></Relationships>
</file>