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aff863b52c42ba" /></Relationships>
</file>

<file path=word/document.xml><?xml version="1.0" encoding="utf-8"?>
<w:document xmlns:r="http://schemas.openxmlformats.org/officeDocument/2006/relationships" xmlns:w="http://schemas.openxmlformats.org/wordprocessingml/2006/main">
  <w:body>
    <w:p>
      <w:pPr>
        <w:pStyle w:val="Title"/>
      </w:pPr>
      <w:r>
        <w:t>Reason for health clinic attendance, code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Reason for health clinic attendance,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624508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23b8daac2b44577">
              <w:r>
                <w:rPr>
                  <w:rStyle w:val="Hyperlink"/>
                  <w:color w:val="244061"/>
                </w:rPr>
                <w:t xml:space="preserve">Health</w:t>
              </w:r>
            </w:hyperlink>
            <w:r>
              <w:rPr>
                <w:rStyle w:val="row-content"/>
                <w:color w:val="244061"/>
              </w:rPr>
              <w:t xml:space="preserve">, Superseded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reason or health issue that prompts a visit to a health clinic.</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01</w:t>
            </w:r>
          </w:p>
        </w:tc>
        <w:tc>
          <w:tcPr>
            <w:tcBorders>
              <w:top w:val="none" w:color="000000" w:sz="0"/>
              <w:left w:val="none" w:color="000000" w:sz="0"/>
              <w:bottom w:val="none" w:color="000000" w:sz="0"/>
              <w:right w:val="none" w:color="000000" w:sz="0"/>
            </w:tcBorders>
            <w:vAlign w:val="top"/>
          </w:tcPr>
          <w:p>
            <w:r>
              <w:t xml:space="preserve">Health check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02</w:t>
            </w:r>
          </w:p>
        </w:tc>
        <w:tc>
          <w:tcPr>
            <w:tcBorders>
              <w:top w:val="none" w:color="000000" w:sz="0"/>
              <w:left w:val="none" w:color="000000" w:sz="0"/>
              <w:bottom w:val="none" w:color="000000" w:sz="0"/>
              <w:right w:val="none" w:color="000000" w:sz="0"/>
            </w:tcBorders>
            <w:vAlign w:val="top"/>
          </w:tcPr>
          <w:p>
            <w:r>
              <w:t xml:space="preserve">Diabetes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03</w:t>
            </w:r>
          </w:p>
        </w:tc>
        <w:tc>
          <w:tcPr>
            <w:tcBorders>
              <w:top w:val="none" w:color="000000" w:sz="0"/>
              <w:left w:val="none" w:color="000000" w:sz="0"/>
              <w:bottom w:val="none" w:color="000000" w:sz="0"/>
              <w:right w:val="none" w:color="000000" w:sz="0"/>
            </w:tcBorders>
            <w:vAlign w:val="top"/>
          </w:tcPr>
          <w:p>
            <w:r>
              <w:t xml:space="preserve">Mental health condition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04</w:t>
            </w:r>
          </w:p>
        </w:tc>
        <w:tc>
          <w:tcPr>
            <w:tcBorders>
              <w:top w:val="none" w:color="000000" w:sz="0"/>
              <w:left w:val="none" w:color="000000" w:sz="0"/>
              <w:bottom w:val="none" w:color="000000" w:sz="0"/>
              <w:right w:val="none" w:color="000000" w:sz="0"/>
            </w:tcBorders>
            <w:vAlign w:val="top"/>
          </w:tcPr>
          <w:p>
            <w:r>
              <w:t xml:space="preserve">Pathology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05</w:t>
            </w:r>
          </w:p>
        </w:tc>
        <w:tc>
          <w:tcPr>
            <w:tcBorders>
              <w:top w:val="none" w:color="000000" w:sz="0"/>
              <w:left w:val="none" w:color="000000" w:sz="0"/>
              <w:bottom w:val="none" w:color="000000" w:sz="0"/>
              <w:right w:val="none" w:color="000000" w:sz="0"/>
            </w:tcBorders>
            <w:vAlign w:val="top"/>
          </w:tcPr>
          <w:p>
            <w:r>
              <w:t xml:space="preserve">Skin condition (excluding cancer and communicable diseases)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06</w:t>
            </w:r>
          </w:p>
        </w:tc>
        <w:tc>
          <w:tcPr>
            <w:tcBorders>
              <w:top w:val="none" w:color="000000" w:sz="0"/>
              <w:left w:val="none" w:color="000000" w:sz="0"/>
              <w:bottom w:val="none" w:color="000000" w:sz="0"/>
              <w:right w:val="none" w:color="000000" w:sz="0"/>
            </w:tcBorders>
            <w:vAlign w:val="top"/>
          </w:tcPr>
          <w:p>
            <w:r>
              <w:t xml:space="preserve">Drug and alcohol issue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07</w:t>
            </w:r>
          </w:p>
        </w:tc>
        <w:tc>
          <w:tcPr>
            <w:tcBorders>
              <w:top w:val="none" w:color="000000" w:sz="0"/>
              <w:left w:val="none" w:color="000000" w:sz="0"/>
              <w:bottom w:val="none" w:color="000000" w:sz="0"/>
              <w:right w:val="none" w:color="000000" w:sz="0"/>
            </w:tcBorders>
            <w:vAlign w:val="top"/>
          </w:tcPr>
          <w:p>
            <w:r>
              <w:t xml:space="preserve">Medication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08</w:t>
            </w:r>
          </w:p>
        </w:tc>
        <w:tc>
          <w:tcPr>
            <w:tcBorders>
              <w:top w:val="none" w:color="000000" w:sz="0"/>
              <w:left w:val="none" w:color="000000" w:sz="0"/>
              <w:bottom w:val="none" w:color="000000" w:sz="0"/>
              <w:right w:val="none" w:color="000000" w:sz="0"/>
            </w:tcBorders>
            <w:vAlign w:val="top"/>
          </w:tcPr>
          <w:p>
            <w:r>
              <w:t xml:space="preserve">Vaccination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09</w:t>
            </w:r>
          </w:p>
        </w:tc>
        <w:tc>
          <w:tcPr>
            <w:tcBorders>
              <w:top w:val="none" w:color="000000" w:sz="0"/>
              <w:left w:val="none" w:color="000000" w:sz="0"/>
              <w:bottom w:val="none" w:color="000000" w:sz="0"/>
              <w:right w:val="none" w:color="000000" w:sz="0"/>
            </w:tcBorders>
            <w:vAlign w:val="top"/>
          </w:tcPr>
          <w:p>
            <w:r>
              <w:t xml:space="preserve">Musculoskeletal injury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w:t>
            </w:r>
          </w:p>
        </w:tc>
        <w:tc>
          <w:tcPr>
            <w:tcBorders>
              <w:top w:val="none" w:color="000000" w:sz="0"/>
              <w:left w:val="none" w:color="000000" w:sz="0"/>
              <w:bottom w:val="none" w:color="000000" w:sz="0"/>
              <w:right w:val="none" w:color="000000" w:sz="0"/>
            </w:tcBorders>
            <w:vAlign w:val="top"/>
          </w:tcPr>
          <w:p>
            <w:r>
              <w:t xml:space="preserve">Musculoskeletal condition (excluding arthritis, injury or cancer)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w:t>
            </w:r>
          </w:p>
        </w:tc>
        <w:tc>
          <w:tcPr>
            <w:tcBorders>
              <w:top w:val="none" w:color="000000" w:sz="0"/>
              <w:left w:val="none" w:color="000000" w:sz="0"/>
              <w:bottom w:val="none" w:color="000000" w:sz="0"/>
              <w:right w:val="none" w:color="000000" w:sz="0"/>
            </w:tcBorders>
            <w:vAlign w:val="top"/>
          </w:tcPr>
          <w:p>
            <w:r>
              <w:t xml:space="preserve">Cardiovascular disease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p>
        </w:tc>
        <w:tc>
          <w:tcPr>
            <w:tcBorders>
              <w:top w:val="none" w:color="000000" w:sz="0"/>
              <w:left w:val="none" w:color="000000" w:sz="0"/>
              <w:bottom w:val="none" w:color="000000" w:sz="0"/>
              <w:right w:val="none" w:color="000000" w:sz="0"/>
            </w:tcBorders>
            <w:vAlign w:val="top"/>
          </w:tcPr>
          <w:p>
            <w:r>
              <w:t xml:space="preserve">Respiratory condition (excluding asthma, cancer or communicable diseases)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13</w:t>
            </w:r>
          </w:p>
        </w:tc>
        <w:tc>
          <w:tcPr>
            <w:tcBorders>
              <w:top w:val="none" w:color="000000" w:sz="0"/>
              <w:left w:val="none" w:color="000000" w:sz="0"/>
              <w:bottom w:val="none" w:color="000000" w:sz="0"/>
              <w:right w:val="none" w:color="000000" w:sz="0"/>
            </w:tcBorders>
            <w:vAlign w:val="top"/>
          </w:tcPr>
          <w:p>
            <w:r>
              <w:t xml:space="preserve">Communicable disease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14</w:t>
            </w:r>
          </w:p>
        </w:tc>
        <w:tc>
          <w:tcPr>
            <w:tcBorders>
              <w:top w:val="none" w:color="000000" w:sz="0"/>
              <w:left w:val="none" w:color="000000" w:sz="0"/>
              <w:bottom w:val="none" w:color="000000" w:sz="0"/>
              <w:right w:val="none" w:color="000000" w:sz="0"/>
            </w:tcBorders>
            <w:vAlign w:val="top"/>
          </w:tcPr>
          <w:p>
            <w:r>
              <w:t xml:space="preserve">Dental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15</w:t>
            </w:r>
          </w:p>
        </w:tc>
        <w:tc>
          <w:tcPr>
            <w:tcBorders>
              <w:top w:val="none" w:color="000000" w:sz="0"/>
              <w:left w:val="none" w:color="000000" w:sz="0"/>
              <w:bottom w:val="none" w:color="000000" w:sz="0"/>
              <w:right w:val="none" w:color="000000" w:sz="0"/>
            </w:tcBorders>
            <w:vAlign w:val="top"/>
          </w:tcPr>
          <w:p>
            <w:r>
              <w:t xml:space="preserve">Digestive condition (excluding cancer)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16</w:t>
            </w:r>
          </w:p>
        </w:tc>
        <w:tc>
          <w:tcPr>
            <w:tcBorders>
              <w:top w:val="none" w:color="000000" w:sz="0"/>
              <w:left w:val="none" w:color="000000" w:sz="0"/>
              <w:bottom w:val="none" w:color="000000" w:sz="0"/>
              <w:right w:val="none" w:color="000000" w:sz="0"/>
            </w:tcBorders>
            <w:vAlign w:val="top"/>
          </w:tcPr>
          <w:p>
            <w:r>
              <w:t xml:space="preserve">Wound care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17</w:t>
            </w:r>
          </w:p>
        </w:tc>
        <w:tc>
          <w:tcPr>
            <w:tcBorders>
              <w:top w:val="none" w:color="000000" w:sz="0"/>
              <w:left w:val="none" w:color="000000" w:sz="0"/>
              <w:bottom w:val="none" w:color="000000" w:sz="0"/>
              <w:right w:val="none" w:color="000000" w:sz="0"/>
            </w:tcBorders>
            <w:vAlign w:val="top"/>
          </w:tcPr>
          <w:p>
            <w:r>
              <w:t xml:space="preserve">Asthma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18</w:t>
            </w:r>
          </w:p>
        </w:tc>
        <w:tc>
          <w:tcPr>
            <w:tcBorders>
              <w:top w:val="none" w:color="000000" w:sz="0"/>
              <w:left w:val="none" w:color="000000" w:sz="0"/>
              <w:bottom w:val="none" w:color="000000" w:sz="0"/>
              <w:right w:val="none" w:color="000000" w:sz="0"/>
            </w:tcBorders>
            <w:vAlign w:val="top"/>
          </w:tcPr>
          <w:p>
            <w:r>
              <w:t xml:space="preserve">Sensory conditions (ear and eye conditions)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19</w:t>
            </w:r>
          </w:p>
        </w:tc>
        <w:tc>
          <w:tcPr>
            <w:tcBorders>
              <w:top w:val="none" w:color="000000" w:sz="0"/>
              <w:left w:val="none" w:color="000000" w:sz="0"/>
              <w:bottom w:val="none" w:color="000000" w:sz="0"/>
              <w:right w:val="none" w:color="000000" w:sz="0"/>
            </w:tcBorders>
            <w:vAlign w:val="top"/>
          </w:tcPr>
          <w:p>
            <w:r>
              <w:t xml:space="preserve">Neurological condition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w:t>
            </w:r>
          </w:p>
        </w:tc>
        <w:tc>
          <w:tcPr>
            <w:tcBorders>
              <w:top w:val="none" w:color="000000" w:sz="0"/>
              <w:left w:val="none" w:color="000000" w:sz="0"/>
              <w:bottom w:val="none" w:color="000000" w:sz="0"/>
              <w:right w:val="none" w:color="000000" w:sz="0"/>
            </w:tcBorders>
            <w:vAlign w:val="top"/>
          </w:tcPr>
          <w:p>
            <w:r>
              <w:t xml:space="preserve">Malignancy (cancer, excluding non-melanoma skin cancer)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w:t>
            </w:r>
          </w:p>
        </w:tc>
        <w:tc>
          <w:tcPr>
            <w:tcBorders>
              <w:top w:val="none" w:color="000000" w:sz="0"/>
              <w:left w:val="none" w:color="000000" w:sz="0"/>
              <w:bottom w:val="none" w:color="000000" w:sz="0"/>
              <w:right w:val="none" w:color="000000" w:sz="0"/>
            </w:tcBorders>
            <w:vAlign w:val="top"/>
          </w:tcPr>
          <w:p>
            <w:r>
              <w:t xml:space="preserve">Arthritis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w:t>
            </w:r>
          </w:p>
        </w:tc>
        <w:tc>
          <w:tcPr>
            <w:tcBorders>
              <w:top w:val="none" w:color="000000" w:sz="0"/>
              <w:left w:val="none" w:color="000000" w:sz="0"/>
              <w:bottom w:val="none" w:color="000000" w:sz="0"/>
              <w:right w:val="none" w:color="000000" w:sz="0"/>
            </w:tcBorders>
            <w:vAlign w:val="top"/>
          </w:tcPr>
          <w:p>
            <w:r>
              <w:t xml:space="preserve">Women's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w:t>
            </w:r>
          </w:p>
        </w:tc>
        <w:tc>
          <w:tcPr>
            <w:tcBorders>
              <w:top w:val="none" w:color="000000" w:sz="0"/>
              <w:left w:val="none" w:color="000000" w:sz="0"/>
              <w:bottom w:val="none" w:color="000000" w:sz="0"/>
              <w:right w:val="none" w:color="000000" w:sz="0"/>
            </w:tcBorders>
            <w:vAlign w:val="top"/>
          </w:tcPr>
          <w:p>
            <w:r>
              <w:t xml:space="preserve">Other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More than one code may be recorded if there are multiple reasons for visiting the health clinic.</w:t>
            </w:r>
          </w:p>
          <w:p>
            <w:pPr>
              <w:spacing w:after="160"/>
            </w:pPr>
            <w:r>
              <w:rPr>
                <w:rStyle w:val="row-content-rich-text"/>
              </w:rPr>
              <w:t xml:space="preserve">CODE 01  Health check</w:t>
            </w:r>
          </w:p>
          <w:p>
            <w:pPr>
              <w:spacing w:after="160"/>
            </w:pPr>
            <w:r>
              <w:rPr>
                <w:rStyle w:val="row-content-rich-text"/>
              </w:rPr>
              <w:t xml:space="preserve">Record this code if the person attended the clinic for a general health check.</w:t>
            </w:r>
          </w:p>
          <w:p>
            <w:pPr>
              <w:spacing w:after="160"/>
            </w:pPr>
            <w:r>
              <w:rPr>
                <w:rStyle w:val="row-content-rich-text"/>
              </w:rPr>
              <w:t xml:space="preserve">CODE 02  Diabetes</w:t>
            </w:r>
          </w:p>
          <w:p>
            <w:pPr>
              <w:spacing w:after="160"/>
            </w:pPr>
            <w:r>
              <w:rPr>
                <w:rStyle w:val="row-content-rich-text"/>
              </w:rPr>
              <w:t xml:space="preserve">Record this code if the person attended the clinic for treatment of Type 1, Type 2 or gestational diabetes.</w:t>
            </w:r>
          </w:p>
          <w:p>
            <w:pPr>
              <w:spacing w:after="160"/>
            </w:pPr>
            <w:r>
              <w:rPr>
                <w:rStyle w:val="row-content-rich-text"/>
              </w:rPr>
              <w:t xml:space="preserve">CODE 03  Mental health condition</w:t>
            </w:r>
          </w:p>
          <w:p>
            <w:pPr>
              <w:spacing w:after="160"/>
            </w:pPr>
            <w:r>
              <w:rPr>
                <w:rStyle w:val="row-content-rich-text"/>
              </w:rPr>
              <w:t xml:space="preserve">Record this code if the person attended the clinic for treatment of a mental health condition.</w:t>
            </w:r>
          </w:p>
          <w:p>
            <w:pPr>
              <w:spacing w:after="160"/>
            </w:pPr>
            <w:r>
              <w:rPr>
                <w:rStyle w:val="row-content-rich-text"/>
              </w:rPr>
              <w:t xml:space="preserve">CODE 04  Pathology</w:t>
            </w:r>
          </w:p>
          <w:p>
            <w:pPr>
              <w:spacing w:after="160"/>
            </w:pPr>
            <w:r>
              <w:rPr>
                <w:rStyle w:val="row-content-rich-text"/>
              </w:rPr>
              <w:t xml:space="preserve">Record this code if the person attending the clinic was having blood or urine tested or receiving results from a blood or urine test.</w:t>
            </w:r>
          </w:p>
          <w:p>
            <w:pPr>
              <w:spacing w:after="160"/>
            </w:pPr>
            <w:r>
              <w:rPr>
                <w:rStyle w:val="row-content-rich-text"/>
              </w:rPr>
              <w:t xml:space="preserve">CODE 05  Skin condition (excluding cancer and communicable diseases)</w:t>
            </w:r>
          </w:p>
          <w:p>
            <w:pPr>
              <w:spacing w:after="160"/>
            </w:pPr>
            <w:r>
              <w:rPr>
                <w:rStyle w:val="row-content-rich-text"/>
              </w:rPr>
              <w:t xml:space="preserve">Record this code if the person attended the clinic for a skin condition (excludes cancer and communicable diseases).</w:t>
            </w:r>
          </w:p>
          <w:p>
            <w:pPr>
              <w:spacing w:after="160"/>
            </w:pPr>
            <w:r>
              <w:rPr>
                <w:rStyle w:val="row-content-rich-text"/>
              </w:rPr>
              <w:t xml:space="preserve">CODE 06  Drug and alcohol issue</w:t>
            </w:r>
          </w:p>
          <w:p>
            <w:pPr>
              <w:spacing w:after="160"/>
            </w:pPr>
            <w:r>
              <w:rPr>
                <w:rStyle w:val="row-content-rich-text"/>
              </w:rPr>
              <w:t xml:space="preserve">Record this code if the person attended the clinic for a drug and alcohol issue.</w:t>
            </w:r>
          </w:p>
          <w:p>
            <w:pPr>
              <w:spacing w:after="160"/>
            </w:pPr>
            <w:r>
              <w:rPr>
                <w:rStyle w:val="row-content-rich-text"/>
              </w:rPr>
              <w:t xml:space="preserve">CODE 07  Medication</w:t>
            </w:r>
          </w:p>
          <w:p>
            <w:pPr>
              <w:spacing w:after="160"/>
            </w:pPr>
            <w:r>
              <w:rPr>
                <w:rStyle w:val="row-content-rich-text"/>
              </w:rPr>
              <w:t xml:space="preserve">Record this code if the person attended the clinic for medication.</w:t>
            </w:r>
          </w:p>
          <w:p>
            <w:pPr>
              <w:spacing w:after="160"/>
            </w:pPr>
            <w:r>
              <w:rPr>
                <w:rStyle w:val="row-content-rich-text"/>
              </w:rPr>
              <w:t xml:space="preserve">CODE 08 Vaccination</w:t>
            </w:r>
          </w:p>
          <w:p>
            <w:pPr>
              <w:spacing w:after="160"/>
            </w:pPr>
            <w:r>
              <w:rPr>
                <w:rStyle w:val="row-content-rich-text"/>
              </w:rPr>
              <w:t xml:space="preserve">Record this code if the person attended the clinic for a vaccination.</w:t>
            </w:r>
          </w:p>
          <w:p>
            <w:pPr>
              <w:spacing w:after="160"/>
            </w:pPr>
            <w:r>
              <w:rPr>
                <w:rStyle w:val="row-content-rich-text"/>
              </w:rPr>
              <w:t xml:space="preserve">CODE 09  Musculoskeletal injury</w:t>
            </w:r>
          </w:p>
          <w:p>
            <w:pPr>
              <w:spacing w:after="160"/>
            </w:pPr>
            <w:r>
              <w:rPr>
                <w:rStyle w:val="row-content-rich-text"/>
              </w:rPr>
              <w:t xml:space="preserve">Record this code if the person attended the clinic for a musculoskeletal injury. Musculoskeletal conditions are recorded separately.</w:t>
            </w:r>
          </w:p>
          <w:p>
            <w:pPr>
              <w:spacing w:after="160"/>
            </w:pPr>
            <w:r>
              <w:rPr>
                <w:rStyle w:val="row-content-rich-text"/>
              </w:rPr>
              <w:t xml:space="preserve">CODE 10 Musculoskeletal condition (excluding arthritis, injury or cancer)</w:t>
            </w:r>
          </w:p>
          <w:p>
            <w:pPr>
              <w:spacing w:after="160"/>
            </w:pPr>
            <w:r>
              <w:rPr>
                <w:rStyle w:val="row-content-rich-text"/>
              </w:rPr>
              <w:t xml:space="preserve">Record this code if the person attended the clinic for a musculoskeletal condition. This excludes arthritis, cancer or injury.</w:t>
            </w:r>
          </w:p>
          <w:p>
            <w:pPr>
              <w:spacing w:after="160"/>
            </w:pPr>
            <w:r>
              <w:rPr>
                <w:rStyle w:val="row-content-rich-text"/>
              </w:rPr>
              <w:t xml:space="preserve">CODE 11  Cardiovascular disease</w:t>
            </w:r>
          </w:p>
          <w:p>
            <w:pPr>
              <w:spacing w:after="160"/>
            </w:pPr>
            <w:r>
              <w:rPr>
                <w:rStyle w:val="row-content-rich-text"/>
              </w:rPr>
              <w:t xml:space="preserve">Record this code if the person attended the clinic for treatment of cardiovascular disease (includes coronary heart disease, heart failure, rheumatic fever, rheumatic heart disease, congenital heart disease, stroke and peripheral vascular disease).</w:t>
            </w:r>
          </w:p>
          <w:p>
            <w:pPr>
              <w:spacing w:after="160"/>
            </w:pPr>
            <w:r>
              <w:rPr>
                <w:rStyle w:val="row-content-rich-text"/>
              </w:rPr>
              <w:t xml:space="preserve">CODE 12  Respiratory condition (excluding asthma, cancer or communicable diseases)</w:t>
            </w:r>
          </w:p>
          <w:p>
            <w:pPr>
              <w:spacing w:after="160"/>
            </w:pPr>
            <w:r>
              <w:rPr>
                <w:rStyle w:val="row-content-rich-text"/>
              </w:rPr>
              <w:t xml:space="preserve">Record this code if the person attended the clinic for treatment of a respiratory condition.</w:t>
            </w:r>
          </w:p>
          <w:p>
            <w:pPr>
              <w:spacing w:after="160"/>
            </w:pPr>
            <w:r>
              <w:rPr>
                <w:rStyle w:val="row-content-rich-text"/>
              </w:rPr>
              <w:t xml:space="preserve">CODE 13  Communicable disease</w:t>
            </w:r>
          </w:p>
          <w:p>
            <w:pPr>
              <w:spacing w:after="160"/>
            </w:pPr>
            <w:r>
              <w:rPr>
                <w:rStyle w:val="row-content-rich-text"/>
              </w:rPr>
              <w:t xml:space="preserve">Communicable diseases are those which are capable of being transmitted between individuals and include infectious and parasitic disease (Healey 2004). Record this code if the person attended the clinic for treatment of a communicable disease (includes blood-borne diseases, gastrointestinal diseases, quarantinable diseases, sexually transmitted infections, vaccine preventable diseases, vector-borne diseases, zoonoses and other bacterial infections).</w:t>
            </w:r>
          </w:p>
          <w:p>
            <w:pPr>
              <w:spacing w:after="160"/>
            </w:pPr>
            <w:r>
              <w:rPr>
                <w:rStyle w:val="row-content-rich-text"/>
              </w:rPr>
              <w:t xml:space="preserve">CODE 14  Dental</w:t>
            </w:r>
          </w:p>
          <w:p>
            <w:pPr>
              <w:spacing w:after="160"/>
            </w:pPr>
            <w:r>
              <w:rPr>
                <w:rStyle w:val="row-content-rich-text"/>
              </w:rPr>
              <w:t xml:space="preserve">Record this code if the person attended the clinic for dental referral, dental procedures or dental pain.</w:t>
            </w:r>
          </w:p>
          <w:p>
            <w:pPr>
              <w:spacing w:after="160"/>
            </w:pPr>
            <w:r>
              <w:rPr>
                <w:rStyle w:val="row-content-rich-text"/>
              </w:rPr>
              <w:t xml:space="preserve">CODE 15  Digestive condition (excluding cancer)</w:t>
            </w:r>
          </w:p>
          <w:p>
            <w:pPr>
              <w:spacing w:after="160"/>
            </w:pPr>
            <w:r>
              <w:rPr>
                <w:rStyle w:val="row-content-rich-text"/>
              </w:rPr>
              <w:t xml:space="preserve">Record this code if the person attended the clinic for treatment of a digestive condition. This excludes cancers which are recorded separately.</w:t>
            </w:r>
          </w:p>
          <w:p>
            <w:pPr>
              <w:spacing w:after="160"/>
            </w:pPr>
            <w:r>
              <w:rPr>
                <w:rStyle w:val="row-content-rich-text"/>
              </w:rPr>
              <w:t xml:space="preserve">CODE 16  Wound care</w:t>
            </w:r>
          </w:p>
          <w:p>
            <w:pPr>
              <w:spacing w:after="160"/>
            </w:pPr>
            <w:r>
              <w:rPr>
                <w:rStyle w:val="row-content-rich-text"/>
              </w:rPr>
              <w:t xml:space="preserve">Record this code if the person attended the clinic for wound care for example dressings or review.</w:t>
            </w:r>
          </w:p>
          <w:p>
            <w:pPr>
              <w:spacing w:after="160"/>
            </w:pPr>
            <w:r>
              <w:rPr>
                <w:rStyle w:val="row-content-rich-text"/>
              </w:rPr>
              <w:t xml:space="preserve">CODE 17  Asthma</w:t>
            </w:r>
          </w:p>
          <w:p>
            <w:pPr>
              <w:spacing w:after="160"/>
            </w:pPr>
            <w:r>
              <w:rPr>
                <w:rStyle w:val="row-content-rich-text"/>
              </w:rPr>
              <w:t xml:space="preserve">Record this code if the person attended the clinic for the treatment of asthma.</w:t>
            </w:r>
          </w:p>
          <w:p>
            <w:pPr>
              <w:spacing w:after="160"/>
            </w:pPr>
            <w:r>
              <w:rPr>
                <w:rStyle w:val="row-content-rich-text"/>
              </w:rPr>
              <w:t xml:space="preserve">CODE 18  Sensory conditions (ear and eye conditions)</w:t>
            </w:r>
          </w:p>
          <w:p>
            <w:pPr>
              <w:spacing w:after="160"/>
            </w:pPr>
            <w:r>
              <w:rPr>
                <w:rStyle w:val="row-content-rich-text"/>
              </w:rPr>
              <w:t xml:space="preserve">Record this code if the person attended the clinic for the treatment of ear or eye conditions.</w:t>
            </w:r>
          </w:p>
          <w:p>
            <w:pPr>
              <w:spacing w:after="160"/>
            </w:pPr>
            <w:r>
              <w:rPr>
                <w:rStyle w:val="row-content-rich-text"/>
              </w:rPr>
              <w:t xml:space="preserve">CODE 19  Neurological condition</w:t>
            </w:r>
          </w:p>
          <w:p>
            <w:pPr>
              <w:spacing w:after="160"/>
            </w:pPr>
            <w:r>
              <w:rPr>
                <w:rStyle w:val="row-content-rich-text"/>
              </w:rPr>
              <w:t xml:space="preserve">Record this code if the person attended the clinic for neurological conditions for example epilepsy, Parkinson disease, motor neurone disease.</w:t>
            </w:r>
          </w:p>
          <w:p>
            <w:pPr>
              <w:spacing w:after="160"/>
            </w:pPr>
            <w:r>
              <w:rPr>
                <w:rStyle w:val="row-content-rich-text"/>
              </w:rPr>
              <w:t xml:space="preserve">CODE 20  Malignancy (cancer, excluding non-melanoma skin cancer)</w:t>
            </w:r>
          </w:p>
          <w:p>
            <w:pPr>
              <w:spacing w:after="160"/>
            </w:pPr>
            <w:r>
              <w:rPr>
                <w:rStyle w:val="row-content-rich-text"/>
              </w:rPr>
              <w:t xml:space="preserve">Record this code if the reason for attending the clinic was a malignancy (cancer), excludes non-melanoma skin cancer.</w:t>
            </w:r>
          </w:p>
          <w:p>
            <w:pPr>
              <w:spacing w:after="160"/>
            </w:pPr>
            <w:r>
              <w:rPr>
                <w:rStyle w:val="row-content-rich-text"/>
              </w:rPr>
              <w:t xml:space="preserve">CODE 21 Arthritis</w:t>
            </w:r>
          </w:p>
          <w:p>
            <w:pPr>
              <w:spacing w:after="160"/>
            </w:pPr>
            <w:r>
              <w:rPr>
                <w:rStyle w:val="row-content-rich-text"/>
              </w:rPr>
              <w:t xml:space="preserve">Record this code if the person attended the clinic for treatment of arthritis (includes gout, rheumatism, osteoarthritis, rheumatoid arthritis, other type, arthritis type unknown).</w:t>
            </w:r>
          </w:p>
          <w:p>
            <w:pPr>
              <w:spacing w:after="160"/>
            </w:pPr>
            <w:r>
              <w:rPr>
                <w:rStyle w:val="row-content-rich-text"/>
              </w:rPr>
              <w:t xml:space="preserve">CODE 22  Women's health</w:t>
            </w:r>
          </w:p>
          <w:p>
            <w:pPr>
              <w:spacing w:after="160"/>
            </w:pPr>
            <w:r>
              <w:rPr>
                <w:rStyle w:val="row-content-rich-text"/>
              </w:rPr>
              <w:t xml:space="preserve">Record this code if the person attended the clinic for women's health issues for example cervical screening, contraceptives.</w:t>
            </w:r>
          </w:p>
          <w:p>
            <w:pPr>
              <w:spacing w:after="160"/>
            </w:pPr>
            <w:r>
              <w:rPr>
                <w:rStyle w:val="row-content-rich-text"/>
              </w:rPr>
              <w:t xml:space="preserve">CODE 25  Other</w:t>
            </w:r>
          </w:p>
          <w:p>
            <w:pPr>
              <w:spacing w:after="160"/>
            </w:pPr>
            <w:r>
              <w:rPr>
                <w:rStyle w:val="row-content-rich-text"/>
              </w:rPr>
              <w:t xml:space="preserve">Record this code if the person attended the clinic for a reason not specified above.</w:t>
            </w:r>
          </w:p>
          <w:p>
            <w:pPr>
              <w:spacing w:after="160"/>
            </w:pPr>
            <w:r>
              <w:rPr>
                <w:rStyle w:val="row-content-rich-text"/>
              </w:rPr>
              <w:t xml:space="preserve">CODE 99  Not stated/inadequately described</w:t>
            </w:r>
          </w:p>
          <w:p>
            <w:pPr/>
            <w:r>
              <w:rPr>
                <w:rStyle w:val="row-content-rich-text"/>
              </w:rPr>
              <w:t xml:space="preserve">Record this code when the reason is unknown.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 list of reasons for attendance at the health clinic was initially guided by the most common categories reported in a number of relevant surveys, for example the 2001 NSW Inmate Health Survey, Queensland Women Prisoners' Health Survey and the </w:t>
            </w:r>
            <w:r>
              <w:rPr>
                <w:rStyle w:val="row-content-rich-text"/>
                <w:i/>
              </w:rPr>
              <w:t xml:space="preserve">General Practice Activity in Australia 2007-08 </w:t>
            </w:r>
            <w:r>
              <w:rPr>
                <w:rStyle w:val="row-content-rich-text"/>
              </w:rPr>
              <w:t xml:space="preserve">(Britt et al. 2008). Following the 2009 National Prisoner Health Census, the list was amended to include the reasons recorded in the 'Other' category on the National Prisoner Health Census Clinic form.</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Centre for Classification in Health 2010. The International statistical classification of diseases and related health problems, tenth revision, Australian modification (7th edn). Sydney: National Centre for Classification in Health, Faculty of Health Sciences, The University of Sydney.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AIHW 2013. The health of Australia's prisoners 2012. Cat. no. PHE 170. Canberra: AIHW.</w:t>
            </w:r>
          </w:p>
          <w:p>
            <w:pPr>
              <w:spacing w:after="160"/>
            </w:pPr>
            <w:r>
              <w:rPr>
                <w:rStyle w:val="row-content-rich-text"/>
              </w:rPr>
              <w:t xml:space="preserve">Britt H, Miller G, Charles J, Henderson J, Bayram C, Harrison C et al. 2008. General practice activity in Australia 2007-08. General practice series no. 22. Cat. no. GEP  22. Canberra: AIHW.</w:t>
            </w:r>
          </w:p>
          <w:p>
            <w:pPr>
              <w:spacing w:after="160"/>
            </w:pPr>
            <w:r>
              <w:rPr>
                <w:rStyle w:val="row-content-rich-text"/>
              </w:rPr>
              <w:t xml:space="preserve">Butler T &amp; Milner L 2003. The 2001 New South Wales Inmate Health Survey. Sydney: Corrections Health Service.</w:t>
            </w:r>
          </w:p>
          <w:p>
            <w:pPr>
              <w:spacing w:after="160"/>
            </w:pPr>
            <w:r>
              <w:rPr>
                <w:rStyle w:val="row-content-rich-text"/>
              </w:rPr>
              <w:t xml:space="preserve">Healey J 2004. Communicable diseases. Thirroul, New South Wales: Spinney Press.</w:t>
            </w:r>
          </w:p>
          <w:p>
            <w:pPr/>
            <w:r>
              <w:rPr>
                <w:rStyle w:val="row-content-rich-text"/>
              </w:rPr>
              <w:t xml:space="preserve">Hockings BA, Young M, Falconer A &amp; O'Rourke PK 2002. Queensland Women Prisoners' Health Survey. Brisbane: Department of Corrective Services.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e1c98eca36314a5b">
              <w:r>
                <w:rPr>
                  <w:rStyle w:val="Hyperlink"/>
                </w:rPr>
                <w:t xml:space="preserve">Reason for health clinic attendance, code NN</w:t>
              </w:r>
            </w:hyperlink>
          </w:p>
          <w:p>
            <w:pPr>
              <w:pStyle w:val="registration-status"/>
              <w:spacing w:before="0" w:after="0"/>
            </w:pPr>
            <w:hyperlink w:history="true" r:id="Rd9f1168171e349bc">
              <w:r>
                <w:rPr>
                  <w:rStyle w:val="Hyperlink"/>
                  <w:color w:val="244061"/>
                </w:rPr>
                <w:t xml:space="preserve">Health</w:t>
              </w:r>
            </w:hyperlink>
            <w:r>
              <w:rPr>
                <w:rStyle w:val="row-content"/>
                <w:color w:val="244061"/>
              </w:rPr>
              <w:t xml:space="preserve">, Superseded 28/04/2016</w:t>
            </w:r>
          </w:p>
          <w:p>
            <w:r>
              <w:br/>
            </w:r>
            <w:r>
              <w:rPr>
                <w:rStyle w:val="row-content"/>
              </w:rPr>
              <w:t xml:space="preserve">Has been superseded by </w:t>
            </w:r>
            <w:hyperlink w:history="true" r:id="R74c3f27533504861">
              <w:r>
                <w:rPr>
                  <w:rStyle w:val="Hyperlink"/>
                </w:rPr>
                <w:t xml:space="preserve">Reason for health clinic attendance, code N[N]</w:t>
              </w:r>
            </w:hyperlink>
          </w:p>
          <w:p>
            <w:pPr>
              <w:pStyle w:val="registration-status"/>
              <w:spacing w:before="0" w:after="0"/>
            </w:pPr>
            <w:hyperlink w:history="true" r:id="Ra1a02a387b5342e2">
              <w:r>
                <w:rPr>
                  <w:rStyle w:val="Hyperlink"/>
                  <w:color w:val="244061"/>
                </w:rPr>
                <w:t xml:space="preserve">Health</w:t>
              </w:r>
            </w:hyperlink>
            <w:r>
              <w:rPr>
                <w:rStyle w:val="row-content"/>
                <w:color w:val="244061"/>
              </w:rPr>
              <w:t xml:space="preserve">, Standard 29/05/2024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1b53eed385b5476d">
              <w:r>
                <w:rPr>
                  <w:rStyle w:val="Hyperlink"/>
                </w:rPr>
                <w:t xml:space="preserve">Person—reason for health clinic attendance, code NN</w:t>
              </w:r>
            </w:hyperlink>
          </w:p>
          <w:p>
            <w:pPr>
              <w:pStyle w:val="registration-status"/>
              <w:spacing w:before="0" w:after="0"/>
            </w:pPr>
            <w:hyperlink w:history="true" r:id="Ra30cda1966ee4a26">
              <w:r>
                <w:rPr>
                  <w:rStyle w:val="Hyperlink"/>
                  <w:color w:val="244061"/>
                </w:rPr>
                <w:t xml:space="preserve">Health</w:t>
              </w:r>
            </w:hyperlink>
            <w:r>
              <w:rPr>
                <w:rStyle w:val="row-content"/>
                <w:color w:val="244061"/>
              </w:rPr>
              <w:t xml:space="preserve">, Superseded 29/05/2024</w:t>
            </w:r>
          </w:p>
          <w:p>
            <w:r>
              <w:br/>
            </w:r>
          </w:p>
        </w:tc>
      </w:tr>
    </w:tbl>
    <w:p>
      <w:r>
        <w:br/>
      </w:r>
    </w:p>
    <w:sectPr>
      <w:footerReference xmlns:r="http://schemas.openxmlformats.org/officeDocument/2006/relationships" w:type="default" r:id="Rbb077aff062d428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624508</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0a377da623b4fe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b077aff062d428b" /><Relationship Type="http://schemas.openxmlformats.org/officeDocument/2006/relationships/header" Target="/word/header1.xml" Id="Rfb4d48676c4643e6" /><Relationship Type="http://schemas.openxmlformats.org/officeDocument/2006/relationships/settings" Target="/word/settings.xml" Id="R1eec7e2c540d40e3" /><Relationship Type="http://schemas.openxmlformats.org/officeDocument/2006/relationships/styles" Target="/word/styles.xml" Id="Rfde49c985c4f43f6" /><Relationship Type="http://schemas.openxmlformats.org/officeDocument/2006/relationships/hyperlink" Target="https://meteor.aihw.gov.au/RegistrationAuthority/12" TargetMode="External" Id="R023b8daac2b44577" /><Relationship Type="http://schemas.openxmlformats.org/officeDocument/2006/relationships/hyperlink" Target="https://meteor.aihw.gov.au/content/365284" TargetMode="External" Id="Re1c98eca36314a5b" /><Relationship Type="http://schemas.openxmlformats.org/officeDocument/2006/relationships/hyperlink" Target="https://meteor.aihw.gov.au/RegistrationAuthority/12" TargetMode="External" Id="Rd9f1168171e349bc" /><Relationship Type="http://schemas.openxmlformats.org/officeDocument/2006/relationships/hyperlink" Target="https://meteor.aihw.gov.au/content/696605" TargetMode="External" Id="R74c3f27533504861" /><Relationship Type="http://schemas.openxmlformats.org/officeDocument/2006/relationships/hyperlink" Target="https://meteor.aihw.gov.au/RegistrationAuthority/12" TargetMode="External" Id="Ra1a02a387b5342e2" /><Relationship Type="http://schemas.openxmlformats.org/officeDocument/2006/relationships/hyperlink" Target="https://meteor.aihw.gov.au/content/624523" TargetMode="External" Id="R1b53eed385b5476d" /><Relationship Type="http://schemas.openxmlformats.org/officeDocument/2006/relationships/hyperlink" Target="https://meteor.aihw.gov.au/RegistrationAuthority/12" TargetMode="External" Id="Ra30cda1966ee4a26" /></Relationships>
</file>

<file path=word/_rels/header1.xml.rels>&#65279;<?xml version="1.0" encoding="utf-8"?><Relationships xmlns="http://schemas.openxmlformats.org/package/2006/relationships"><Relationship Type="http://schemas.openxmlformats.org/officeDocument/2006/relationships/image" Target="/media/image.png" Id="Rd0a377da623b4fe1" /></Relationships>
</file>