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d0a46e22aa4e22"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e2d2a9acd406c">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e053a8715a4ccf">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71cb62be3c44cb">
              <w:r>
                <w:rPr>
                  <w:rStyle w:val="Hyperlink"/>
                </w:rPr>
                <w:t xml:space="preserve">NDA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support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rPr>
              <w:t xml:space="preserve">CODE 1.01   Large residential/institutions (&gt;20 places)</w:t>
            </w:r>
            <w:r>
              <w:rPr>
                <w:rStyle w:val="row-content-rich-text"/>
              </w:rPr>
              <w:t xml:space="preserve">—</w:t>
            </w:r>
            <w:r>
              <w:rPr>
                <w:rStyle w:val="row-content-rich-text"/>
              </w:rPr>
              <w:t xml:space="preserve">24 hour care</w:t>
            </w:r>
          </w:p>
          <w:p>
            <w:pPr>
              <w:spacing w:after="160"/>
            </w:pPr>
            <w:r>
              <w:rPr>
                <w:rStyle w:val="row-content-rich-text"/>
              </w:rPr>
              <w:t xml:space="preserve">Large residential/institutions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1.02   Small residential/institutions (7–20 places)—24 hour care</w:t>
            </w:r>
          </w:p>
          <w:p>
            <w:pPr>
              <w:spacing w:after="160"/>
            </w:pPr>
            <w:r>
              <w:rPr>
                <w:rStyle w:val="row-content-rich-text"/>
              </w:rPr>
              <w:t xml:space="preserve">Small residential/institutions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1.03   Hostels</w:t>
            </w:r>
            <w:r>
              <w:rPr>
                <w:rStyle w:val="row-content-rich-text"/>
              </w:rPr>
              <w:t xml:space="preserve">—</w:t>
            </w:r>
            <w:r>
              <w:rPr>
                <w:rStyle w:val="row-content-rich-text"/>
              </w:rPr>
              <w:t xml:space="preserve">generally not 24 hour care</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residential/institutions (1.01 and 1.02), hostels usually do not provide segregated specialist disability support services. (Where this is the case, each additional service type should be funded and/or reported as a separate service type outlet.)</w:t>
            </w:r>
          </w:p>
          <w:p>
            <w:pPr>
              <w:spacing w:after="160"/>
            </w:pPr>
            <w:r>
              <w:rPr>
                <w:rStyle w:val="row-content-rich-text"/>
              </w:rPr>
              <w:t xml:space="preserve">CODE 1.04   Group homes (less than 7 places)</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(that is,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(for example,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(that is,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Community support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(that is, the service is not working with an individual), then it should be classified under service type 2.07 ‘other community support’.</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(for example,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(that is,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rPr>
              <w:t xml:space="preserve">Community access (3.01–3.03)</w:t>
            </w:r>
          </w:p>
          <w:p>
            <w:pPr>
              <w:spacing w:after="160"/>
            </w:pPr>
            <w:r>
              <w:rPr>
                <w:rStyle w:val="row-content-rich-text"/>
              </w:rPr>
              <w:t xml:space="preserve">Services designed to provide opportunities for people with disability to gain and use their abilities to enjoy their full potential for social independence.</w:t>
            </w:r>
          </w:p>
          <w:p>
            <w:pPr>
              <w:spacing w:after="160"/>
            </w:pP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w:t>
            </w:r>
          </w:p>
          <w:p>
            <w:pPr>
              <w:pStyle w:val="ListParagraph"/>
              <w:numPr>
                <w:ilvl w:val="0"/>
                <w:numId w:val="3"/>
              </w:numPr>
            </w:pPr>
            <w:r>
              <w:rPr>
                <w:rStyle w:val="row-content-rich-text"/>
              </w:rPr>
              <w:t xml:space="preserve">range from long-term day support to time-limited and goal-oriented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(for example,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for example, book, music or sporting clubs</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(that is,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w:t>
            </w:r>
          </w:p>
          <w:p>
            <w:pPr>
              <w:spacing w:after="160"/>
            </w:pPr>
            <w:r>
              <w:rPr>
                <w:rStyle w:val="row-content-rich-text"/>
              </w:rPr>
              <w:t xml:space="preserve">Respite (4.01–4.05)</w:t>
            </w:r>
          </w:p>
          <w:p>
            <w:pPr>
              <w:spacing w:after="160"/>
            </w:pPr>
            <w:r>
              <w:rPr>
                <w:rStyle w:val="row-content-rich-text"/>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rPr>
              <w:t xml:space="preserve">CODE 4.05   Other respite</w:t>
            </w:r>
          </w:p>
          <w:p>
            <w:pPr>
              <w:spacing w:after="160"/>
            </w:pPr>
            <w:r>
              <w:rPr>
                <w:rStyle w:val="row-content-rich-text"/>
              </w:rPr>
              <w:t xml:space="preserve">Respite services other than those outlined above (that is,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for example, family.</w:t>
            </w:r>
          </w:p>
          <w:p>
            <w:pPr>
              <w:spacing w:after="160"/>
            </w:pPr>
            <w:r>
              <w:rPr>
                <w:rStyle w:val="row-content-rich-text"/>
              </w:rPr>
              <w:t xml:space="preserve">Employment (5.01–5.02)</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the open labour market.</w:t>
            </w:r>
          </w:p>
          <w:p>
            <w:pPr>
              <w:spacing w:after="160"/>
            </w:pPr>
            <w:r>
              <w:rPr>
                <w:rStyle w:val="row-content-rich-text"/>
              </w:rPr>
              <w:t xml:space="preserve">CODE 5.02   Supported employment</w:t>
            </w:r>
          </w:p>
          <w:p>
            <w:pPr>
              <w:spacing w:after="160"/>
            </w:pPr>
            <w:r>
              <w:rPr>
                <w:rStyle w:val="row-content-rich-text"/>
              </w:rPr>
              <w:t xml:space="preserve">Services that provide employment opportunities and assistance to people with disability to work in specialised and supported work environments.</w:t>
            </w:r>
          </w:p>
          <w:p>
            <w:pPr>
              <w:spacing w:after="160"/>
            </w:pPr>
            <w:r>
              <w:rPr>
                <w:rStyle w:val="row-content-rich-text"/>
              </w:rPr>
              <w:t xml:space="preserve">Advocacy, information and alternative forms of communication (6.01–6.05)</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support/self-help groups</w:t>
            </w:r>
          </w:p>
          <w:p>
            <w:pPr>
              <w:spacing w:after="160"/>
            </w:pPr>
            <w:r>
              <w:rPr>
                <w:rStyle w:val="row-content-rich-text"/>
              </w:rPr>
              <w:t xml:space="preserve">Focus, or special interest groups to provide support and assistance for people with disability,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disabilities are unable to access information provided in the standard format. May include interpreter services, radio and alternative formats of print medium, for example, TTY, Braille etc.</w:t>
            </w:r>
          </w:p>
          <w:p>
            <w:pPr>
              <w:spacing w:after="160"/>
            </w:pPr>
            <w:r>
              <w:rPr>
                <w:rStyle w:val="row-content-rich-text"/>
              </w:rPr>
              <w:t xml:space="preserve">Other support (7.01–7.04)</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5.01–5.02, 6.01–6.05 and 7.01–7.03). This service type also includes the provision of one-off funding for a defined event (for example, for promotional activities) or for the purchase of aids and equipment for a community facility (not for an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agencies should not use codes 5.01 or 5.02—they are employment-specific codes and these services are funded by the Australian Government.</w:t>
            </w:r>
          </w:p>
          <w:p>
            <w:pPr>
              <w:spacing w:after="160"/>
            </w:pPr>
            <w:r>
              <w:rPr>
                <w:rStyle w:val="row-content-rich-text"/>
              </w:rPr>
              <w:t xml:space="preserve">If it is difficult to differentiate between service types 1.04 ‘group homes (usually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 The level of staffing and support provided should also be taken into consideration—group homes (1.04) generally offer 24-hour support, and in home accommodation support services (1.06) offer more sporadic/less intense support.</w:t>
            </w:r>
          </w:p>
          <w:p>
            <w:pPr>
              <w:spacing w:after="160"/>
            </w:pPr>
            <w:r>
              <w:rPr>
                <w:rStyle w:val="row-content-rich-text"/>
              </w:rPr>
              <w:t xml:space="preserve">If there is some difficulty in interpreting whether an in-home service should be recorded as 1.06 or 4.01, the solution can be addressed in terms of the primary focus of the service. If the primary focus of the service is to provide respite support, then the service should be recorded as 4.01. However, if there is only a respite ‘effect’, and the service is mainly offered to provide in-home support, then the service should be recorded as 1.06. Alternatively, the question can be asked ‘for whom is the in-home support service primarily being provided?’ If the intended primary recipient of the respite support is a care-giver, then the service should generally be recorded as 4.01. However, if the recipient is the person with disability then it can generally be recorded as 1.06.</w:t>
            </w:r>
          </w:p>
          <w:p>
            <w:pPr>
              <w:spacing w:after="160"/>
            </w:pPr>
            <w:r>
              <w:rPr>
                <w:rStyle w:val="row-content-rich-text"/>
              </w:rPr>
              <w:t xml:space="preserve">Where services are provided to groups or families (for example, 2.02, 2.04 and 2.05), details are only requested about the service user who is eligible for NDA services (that is, the person with disability), not their family or other group members. For example, if a service user receives respite services, only details about the service user (that is, person with the disability) are required, not those of the family or carer.</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w:t>
            </w:r>
          </w:p>
          <w:p>
            <w:pPr>
              <w:spacing w:after="160"/>
            </w:pPr>
            <w:r>
              <w:rPr>
                <w:rStyle w:val="row-content-rich-text"/>
              </w:rPr>
              <w:t xml:space="preserve">Service type 2.06 ‘case management, local coordination and development’ may include brokerage activities.</w:t>
            </w:r>
          </w:p>
          <w:p>
            <w:pPr>
              <w:spacing w:after="160"/>
            </w:pPr>
            <w:r>
              <w:rPr>
                <w:rStyle w:val="row-content-rich-text"/>
              </w:rPr>
              <w:t xml:space="preserve">Outlets providing mainly community development services that are not linked to individuals should be coded as 2.07 service types.</w:t>
            </w:r>
          </w:p>
          <w:p>
            <w:pPr>
              <w:spacing w:after="160"/>
            </w:pPr>
            <w:r>
              <w:rPr>
                <w:rStyle w:val="row-content-rich-text"/>
              </w:rPr>
              <w:t xml:space="preserve">If the main focus of the service involves working with individuals, then the outlets should be classified as service type 2.06.</w:t>
            </w:r>
          </w:p>
          <w:p>
            <w:pPr/>
            <w:r>
              <w:rPr>
                <w:rStyle w:val="row-content-rich-text"/>
              </w:rPr>
              <w:t xml:space="preserve">Recording services as 3.03 should only be done so when the service cannot be classified as 3.01 or 3.02. If the service provided is vocational in nature, though the client is not likely to ever enter the workforce the service may be more appropriately recorded as an ongoing 3.01 service, rather than a vocational service. Examples of 3.03 services include innovative services and other service mixes; for example, a mix of day programs (3.01) and therapy (2.01)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d5477f4347349ad">
              <w:r>
                <w:rPr>
                  <w:rStyle w:val="Hyperlink"/>
                  <w:b/>
                </w:rPr>
                <w:t xml:space="preserve">funded agencies </w:t>
              </w:r>
            </w:hyperlink>
            <w:r>
              <w:rPr>
                <w:rStyle w:val="row-content-rich-text"/>
              </w:rPr>
              <w:t xml:space="preserve">in relation to all </w:t>
            </w:r>
            <w:hyperlink w:tooltip="A service type outlet is the unit of the funded agency that delivers a particular National Disability Agreement (NDA) service type at or from a discrete location." w:history="true" r:id="R1c3c3be132bd4034">
              <w:r>
                <w:rPr>
                  <w:rStyle w:val="Hyperlink"/>
                  <w:b/>
                </w:rPr>
                <w:t xml:space="preserve">service type outlets</w:t>
              </w:r>
            </w:hyperlink>
            <w:r>
              <w:rPr>
                <w:rStyle w:val="row-content-rich-text"/>
              </w:rPr>
              <w:t xml:space="preserve">, in order to describe the outlet. Service type outlets should verify—and correct where necessary—the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59da7b47aa457a">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399aab09ccb2475a">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ad9875f5d68949c7">
              <w:r>
                <w:rPr>
                  <w:rStyle w:val="Hyperlink"/>
                </w:rPr>
                <w:t xml:space="preserve">Person—residential setting, accommodation type (NDA) code N[N]</w:t>
              </w:r>
            </w:hyperlink>
          </w:p>
          <w:p>
            <w:pPr>
              <w:spacing w:before="0" w:after="0"/>
            </w:pPr>
            <w:r>
              <w:rPr>
                <w:rStyle w:val="row-content"/>
                <w:color w:val="244061"/>
              </w:rPr>
              <w:t xml:space="preserve">       </w:t>
            </w:r>
            <w:hyperlink w:history="true" r:id="R7416797780044bad">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60eefe4d744ea5">
              <w:r>
                <w:rPr>
                  <w:rStyle w:val="Hyperlink"/>
                </w:rPr>
                <w:t xml:space="preserve">Disability Services NMDS 2015–16</w:t>
              </w:r>
            </w:hyperlink>
          </w:p>
          <w:p>
            <w:pPr>
              <w:spacing w:before="0" w:after="0"/>
            </w:pPr>
            <w:r>
              <w:rPr>
                <w:rStyle w:val="row-content"/>
                <w:color w:val="244061"/>
              </w:rPr>
              <w:t xml:space="preserve">       </w:t>
            </w:r>
            <w:hyperlink w:history="true" r:id="Rbcf660fd9d074096">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062b77cb3594a35">
              <w:r>
                <w:rPr>
                  <w:rStyle w:val="Hyperlink"/>
                </w:rPr>
                <w:t xml:space="preserve">Disability Services NMDS 2016–17</w:t>
              </w:r>
            </w:hyperlink>
          </w:p>
          <w:p>
            <w:pPr>
              <w:spacing w:before="0" w:after="0"/>
            </w:pPr>
            <w:r>
              <w:rPr>
                <w:rStyle w:val="row-content"/>
                <w:color w:val="244061"/>
              </w:rPr>
              <w:t xml:space="preserve">       </w:t>
            </w:r>
            <w:hyperlink w:history="true" r:id="Rb465635b8fdd4542">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c0609ace9aa409a">
              <w:r>
                <w:rPr>
                  <w:rStyle w:val="Hyperlink"/>
                </w:rPr>
                <w:t xml:space="preserve">Disability Services NMDS 2017–18</w:t>
              </w:r>
            </w:hyperlink>
          </w:p>
          <w:p>
            <w:pPr>
              <w:spacing w:before="0" w:after="0"/>
            </w:pPr>
            <w:r>
              <w:rPr>
                <w:rStyle w:val="row-content"/>
                <w:color w:val="244061"/>
              </w:rPr>
              <w:t xml:space="preserve">       </w:t>
            </w:r>
            <w:hyperlink w:history="true" r:id="Reb229d749ce04ea4">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0e9adfd8b034d80">
              <w:r>
                <w:rPr>
                  <w:rStyle w:val="Hyperlink"/>
                </w:rPr>
                <w:t xml:space="preserve">Disability Services NMDS 2018–19</w:t>
              </w:r>
            </w:hyperlink>
          </w:p>
          <w:p>
            <w:pPr>
              <w:spacing w:before="0" w:after="0"/>
            </w:pPr>
            <w:r>
              <w:rPr>
                <w:rStyle w:val="row-content"/>
                <w:color w:val="244061"/>
              </w:rPr>
              <w:t xml:space="preserve">       </w:t>
            </w:r>
            <w:hyperlink w:history="true" r:id="R98fae49fa7174a77">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ac15f9248a32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623523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c31dae54b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5f9248a32435a" /><Relationship Type="http://schemas.openxmlformats.org/officeDocument/2006/relationships/header" Target="/word/header1.xml" Id="R797f5500b2ec4f37" /><Relationship Type="http://schemas.openxmlformats.org/officeDocument/2006/relationships/settings" Target="/word/settings.xml" Id="Rcaaa94908d1d461e" /><Relationship Type="http://schemas.openxmlformats.org/officeDocument/2006/relationships/styles" Target="/word/styles.xml" Id="Rb58263385cd94926" /><Relationship Type="http://schemas.openxmlformats.org/officeDocument/2006/relationships/hyperlink" Target="https://meteor.aihw.gov.au/RegistrationAuthority/16" TargetMode="External" Id="R8f6e2d2a9acd406c" /><Relationship Type="http://schemas.openxmlformats.org/officeDocument/2006/relationships/hyperlink" Target="https://meteor.aihw.gov.au/content/613277" TargetMode="External" Id="R09e053a8715a4ccf" /><Relationship Type="http://schemas.openxmlformats.org/officeDocument/2006/relationships/hyperlink" Target="https://meteor.aihw.gov.au/content/623529" TargetMode="External" Id="Rba71cb62be3c44cb" /><Relationship Type="http://schemas.openxmlformats.org/officeDocument/2006/relationships/numbering" Target="/word/numbering.xml" Id="Rc07c03156d0542a6" /><Relationship Type="http://schemas.openxmlformats.org/officeDocument/2006/relationships/hyperlink" Target="https://meteor.aihw.gov.au/content/386548" TargetMode="External" Id="R3d5477f4347349ad" /><Relationship Type="http://schemas.openxmlformats.org/officeDocument/2006/relationships/hyperlink" Target="https://meteor.aihw.gov.au/content/501973" TargetMode="External" Id="R1c3c3be132bd4034" /><Relationship Type="http://schemas.openxmlformats.org/officeDocument/2006/relationships/hyperlink" Target="https://meteor.aihw.gov.au/content/613272" TargetMode="External" Id="R5059da7b47aa457a" /><Relationship Type="http://schemas.openxmlformats.org/officeDocument/2006/relationships/hyperlink" Target="https://meteor.aihw.gov.au/RegistrationAuthority/16" TargetMode="External" Id="R399aab09ccb2475a" /><Relationship Type="http://schemas.openxmlformats.org/officeDocument/2006/relationships/hyperlink" Target="https://meteor.aihw.gov.au/content/680311" TargetMode="External" Id="Rad9875f5d68949c7" /><Relationship Type="http://schemas.openxmlformats.org/officeDocument/2006/relationships/hyperlink" Target="https://meteor.aihw.gov.au/RegistrationAuthority/16" TargetMode="External" Id="R7416797780044bad" /><Relationship Type="http://schemas.openxmlformats.org/officeDocument/2006/relationships/hyperlink" Target="https://meteor.aihw.gov.au/content/617391" TargetMode="External" Id="Ra260eefe4d744ea5" /><Relationship Type="http://schemas.openxmlformats.org/officeDocument/2006/relationships/hyperlink" Target="https://meteor.aihw.gov.au/RegistrationAuthority/16" TargetMode="External" Id="Rbcf660fd9d074096" /><Relationship Type="http://schemas.openxmlformats.org/officeDocument/2006/relationships/hyperlink" Target="https://meteor.aihw.gov.au/content/637867" TargetMode="External" Id="R1062b77cb3594a35" /><Relationship Type="http://schemas.openxmlformats.org/officeDocument/2006/relationships/hyperlink" Target="https://meteor.aihw.gov.au/RegistrationAuthority/16" TargetMode="External" Id="Rb465635b8fdd4542" /><Relationship Type="http://schemas.openxmlformats.org/officeDocument/2006/relationships/hyperlink" Target="https://meteor.aihw.gov.au/content/664954" TargetMode="External" Id="Rdc0609ace9aa409a" /><Relationship Type="http://schemas.openxmlformats.org/officeDocument/2006/relationships/hyperlink" Target="https://meteor.aihw.gov.au/RegistrationAuthority/16" TargetMode="External" Id="Reb229d749ce04ea4" /><Relationship Type="http://schemas.openxmlformats.org/officeDocument/2006/relationships/hyperlink" Target="https://meteor.aihw.gov.au/content/698074" TargetMode="External" Id="R30e9adfd8b034d80" /><Relationship Type="http://schemas.openxmlformats.org/officeDocument/2006/relationships/hyperlink" Target="https://meteor.aihw.gov.au/RegistrationAuthority/16" TargetMode="External" Id="R98fae49fa7174a77" /></Relationships>
</file>

<file path=word/_rels/header1.xml.rels>&#65279;<?xml version="1.0" encoding="utf-8"?><Relationships xmlns="http://schemas.openxmlformats.org/package/2006/relationships"><Relationship Type="http://schemas.openxmlformats.org/officeDocument/2006/relationships/image" Target="/media/image.png" Id="R6fec31dae54b4dc0" /></Relationships>
</file>