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8fe0d2064440e3" /></Relationships>
</file>

<file path=word/document.xml><?xml version="1.0" encoding="utf-8"?>
<w:document xmlns:r="http://schemas.openxmlformats.org/officeDocument/2006/relationships" xmlns:w="http://schemas.openxmlformats.org/wordprocessingml/2006/main">
  <w:body>
    <w:p>
      <w:pPr>
        <w:pStyle w:val="Title"/>
      </w:pPr>
      <w:r>
        <w:t>Person—residential setting, accommodation type (NDA)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Person—residential setting, accommodation type (NDA)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setting (NDA)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c4db2a95344564">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physical setting in which a person usually resides,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6834069a69445f">
              <w:r>
                <w:rPr>
                  <w:rStyle w:val="Hyperlink"/>
                </w:rPr>
                <w:t xml:space="preserve">Person—residential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ad1e1337ee412b">
              <w:r>
                <w:rPr>
                  <w:rStyle w:val="Hyperlink"/>
                </w:rPr>
                <w:t xml:space="preserve">Accommodation type (NDA)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residence (e.g. private or public rental, owned, purchasing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Residence within an Aboriginal/Torres Strait Islander community (e.g. rented private residence, temporary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Domestic-scale supported living facility (e.g. group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Supported accommodation facility (e.g. hostels, supported residential services or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Boarding house/private hotel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Independent living unit within a retirement village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Residential aged care facility (nursing home or aged care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Psychiatric/mental health community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Short term crisis, emergency or transitional accommodation facility (e.g. night shelters, refuges, hostels for the homeless, halfway houses)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Public place/temporary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 (not for use in primary data collections)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‘Usual’ is defined as where the person usually resides for four or more days per week on average. If it is difficult to determine the person’s ‘usual’ residential setting for the reporting period, the setting the person resided in during the reference week is reported.</w:t>
            </w:r>
          </w:p>
          <w:p>
            <w:pPr>
              <w:spacing w:after="160"/>
            </w:pPr>
            <w:r>
              <w:rPr>
                <w:rStyle w:val="row-content-rich-text"/>
              </w:rPr>
              <w:t xml:space="preserve">CODE 1  Private residence (e.g. private or public rental, owned, purchasing etc)</w:t>
            </w:r>
          </w:p>
          <w:p>
            <w:pPr>
              <w:spacing w:after="160"/>
            </w:pPr>
            <w:r>
              <w:rPr>
                <w:rStyle w:val="row-content-rich-text"/>
              </w:rPr>
              <w:t xml:space="preserve">Private residence refers to private residences which include a wide range of dwelling types, such as houses, flats, units, caravans, mobile homes, boats etc.</w:t>
            </w:r>
          </w:p>
          <w:p>
            <w:pPr>
              <w:spacing w:after="160"/>
            </w:pPr>
            <w:r>
              <w:rPr>
                <w:rStyle w:val="row-content-rich-text"/>
              </w:rPr>
              <w:t xml:space="preserve">CODE 2  Residence within an Aboriginal/Torres Strait Islander community (e.g. rented private residence, temporary shelter)</w:t>
            </w:r>
          </w:p>
          <w:p>
            <w:pPr>
              <w:spacing w:after="160"/>
            </w:pPr>
            <w:r>
              <w:rPr>
                <w:rStyle w:val="row-content-rich-text"/>
              </w:rPr>
              <w:t xml:space="preserve">Residence within an Aboriginal/Torres Strait Islander community should be used for service users that live in this type of setting, regardless of whether the residence is a private residence or a public place/temporary shelter (codes 1 and 11).</w:t>
            </w:r>
          </w:p>
          <w:p>
            <w:pPr>
              <w:spacing w:after="160"/>
            </w:pPr>
            <w:r>
              <w:rPr>
                <w:rStyle w:val="row-content-rich-text"/>
              </w:rPr>
              <w:t xml:space="preserve">CODE 3  Domestic-scale supported living facility (e.g. group homes)</w:t>
            </w:r>
          </w:p>
          <w:p>
            <w:pPr>
              <w:spacing w:after="160"/>
            </w:pPr>
            <w:r>
              <w:rPr>
                <w:rStyle w:val="row-content-rich-text"/>
              </w:rPr>
              <w:t xml:space="preserve">Domestic-scale supported living facility refers to community living settings in which service users reside in a facility that provides support in some way by staff or volunteers. This category includes group homes, cluster apartments where a support worker lives on site, community residential apartments, congregate care arrangements, etc. Domestic-scale supported living settings may or may not have 24 hour supervision and care. Independent living units in retirement villages should be coded to 6 and community psychiatric facilities should be coded to 8. (Service users receiving service type 1.04 ‘Group homes’ should be coded to 3).</w:t>
            </w:r>
          </w:p>
          <w:p>
            <w:pPr>
              <w:spacing w:after="160"/>
            </w:pPr>
            <w:r>
              <w:rPr>
                <w:rStyle w:val="row-content-rich-text"/>
              </w:rPr>
              <w:t xml:space="preserve">CODE 4  Supported accommodation facility (e.g. hostels, supported residential services or facilities)</w:t>
            </w:r>
          </w:p>
          <w:p>
            <w:pPr>
              <w:spacing w:after="160"/>
            </w:pPr>
            <w:r>
              <w:rPr>
                <w:rStyle w:val="row-content-rich-text"/>
              </w:rPr>
              <w:t xml:space="preserve">Supported accommodation facility refers to settings in which service users reside in an accommodation facility which provides board or lodging for a number of people and which has support services provided on what is usually a 24 hour basis by rostered care workers. (Service users receiving DS NMDS service types 1.01, 1.02 or 1.03 should be coded to 4). Supported accommodation facilities include hostels for people with disability. This code should be used for larger supported accommodation facilities (usually 7 or more people) that provide 24 hour supervision or care. Smaller supported accommodation facilities (i.e. less than 7 people) which may or may not have 24 hour supervision or care should be coded to 3 ‘Domestic-scale supported living facility’. Aged care hostels should be coded to 7 ‘Residential aged care facility’.</w:t>
            </w:r>
          </w:p>
          <w:p>
            <w:pPr>
              <w:spacing w:after="160"/>
            </w:pPr>
            <w:r>
              <w:rPr>
                <w:rStyle w:val="row-content-rich-text"/>
              </w:rPr>
              <w:t xml:space="preserve">CODE 5  Boarding house/private hotel</w:t>
            </w:r>
          </w:p>
          <w:p>
            <w:pPr>
              <w:spacing w:after="160"/>
            </w:pPr>
            <w:r>
              <w:rPr>
                <w:rStyle w:val="row-content-rich-text"/>
              </w:rPr>
              <w:t xml:space="preserve">Refers to residing in a boarding house or in a private hotel.</w:t>
            </w:r>
          </w:p>
          <w:p>
            <w:pPr>
              <w:spacing w:after="160"/>
            </w:pPr>
            <w:r>
              <w:rPr>
                <w:rStyle w:val="row-content-rich-text"/>
              </w:rPr>
              <w:t xml:space="preserve">CODE 6  Independent living unit within a retirement village</w:t>
            </w:r>
          </w:p>
          <w:p>
            <w:pPr>
              <w:spacing w:after="160"/>
            </w:pPr>
            <w:r>
              <w:rPr>
                <w:rStyle w:val="row-content-rich-text"/>
              </w:rPr>
              <w:t xml:space="preserve">Refers to residing in an independent living unit within a retirement village.</w:t>
            </w:r>
          </w:p>
          <w:p>
            <w:pPr>
              <w:spacing w:after="160"/>
            </w:pPr>
            <w:r>
              <w:rPr>
                <w:rStyle w:val="row-content-rich-text"/>
              </w:rPr>
              <w:t xml:space="preserve">CODE 7  Residential aged care facility(nursing home or aged care hostel)</w:t>
            </w:r>
          </w:p>
          <w:p>
            <w:pPr>
              <w:spacing w:after="160"/>
            </w:pPr>
            <w:r>
              <w:rPr>
                <w:rStyle w:val="row-content-rich-text"/>
              </w:rPr>
              <w:t xml:space="preserve">Residential aged care facility includes permanent residents of Residential aged care services (formerly nursing homes and aged care hostels) and Multi-purpose services or Multi-purpose centres, who are receiving low level or high level care.</w:t>
            </w:r>
          </w:p>
          <w:p>
            <w:pPr>
              <w:spacing w:after="160"/>
            </w:pPr>
            <w:r>
              <w:rPr>
                <w:rStyle w:val="row-content-rich-text"/>
              </w:rPr>
              <w:t xml:space="preserve">CODE 8  Psychiatric/mental health community care facility</w:t>
            </w:r>
          </w:p>
          <w:p>
            <w:pPr>
              <w:spacing w:after="160"/>
            </w:pPr>
            <w:r>
              <w:rPr>
                <w:rStyle w:val="row-content-rich-text"/>
              </w:rPr>
              <w:t xml:space="preserve">Psychiatric/mental health community care facility refers to community care units which provide accommodation and non-acute care and support on a temporary basis to people with mental illness or psychological disabilities.</w:t>
            </w:r>
          </w:p>
          <w:p>
            <w:pPr>
              <w:spacing w:after="160"/>
            </w:pPr>
            <w:r>
              <w:rPr>
                <w:rStyle w:val="row-content-rich-text"/>
              </w:rPr>
              <w:t xml:space="preserve">CODE 9  Hospital</w:t>
            </w:r>
          </w:p>
          <w:p>
            <w:pPr>
              <w:spacing w:after="160"/>
            </w:pPr>
            <w:r>
              <w:rPr>
                <w:rStyle w:val="row-content-rich-text"/>
              </w:rPr>
              <w:t xml:space="preserve">Refers to residing in a hospital.</w:t>
            </w:r>
          </w:p>
          <w:p>
            <w:pPr>
              <w:spacing w:after="160"/>
            </w:pPr>
            <w:r>
              <w:rPr>
                <w:rStyle w:val="row-content-rich-text"/>
              </w:rPr>
              <w:t xml:space="preserve">CODE 10  Short term crisis, emergency or transitional accommodation facility (e.g. night shelters, refuges, hostels for the homeless, halfway houses)</w:t>
            </w:r>
          </w:p>
          <w:p>
            <w:pPr>
              <w:spacing w:after="160"/>
            </w:pPr>
            <w:r>
              <w:rPr>
                <w:rStyle w:val="row-content-rich-text"/>
              </w:rPr>
              <w:t xml:space="preserve">Refers to residing in short term crisis accommodation, in emergency accommodation, or in a transitional accommodation facility. This includes night shelters, refuges, hostels for the homeless, and halfway houses.</w:t>
            </w:r>
          </w:p>
          <w:p>
            <w:pPr>
              <w:spacing w:after="160"/>
            </w:pPr>
            <w:r>
              <w:rPr>
                <w:rStyle w:val="row-content-rich-text"/>
              </w:rPr>
              <w:t xml:space="preserve">CODE 11  Public place/temporary shelter</w:t>
            </w:r>
          </w:p>
          <w:p>
            <w:pPr>
              <w:spacing w:after="160"/>
            </w:pPr>
            <w:r>
              <w:rPr>
                <w:rStyle w:val="row-content-rich-text"/>
              </w:rPr>
              <w:t xml:space="preserve">Public place/temporary shelter includes public places such as streets and parks, as well as temporary shelters such as bus shelters or camps and accommodation outside legal tenure arrangements, such as squats.</w:t>
            </w:r>
          </w:p>
          <w:p>
            <w:pPr>
              <w:spacing w:after="160"/>
            </w:pPr>
            <w:r>
              <w:rPr>
                <w:rStyle w:val="row-content-rich-text"/>
              </w:rPr>
              <w:t xml:space="preserve">CODE 12  Other</w:t>
            </w:r>
          </w:p>
          <w:p>
            <w:pPr/>
            <w:r>
              <w:rPr>
                <w:rStyle w:val="row-content-rich-text"/>
              </w:rPr>
              <w:t xml:space="preserve">Other includes situations such as a child under a court/guardianship order with no usual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residential setting should relate to the same place described under '</w:t>
            </w:r>
            <w:hyperlink w:history="true" r:id="R507bedcc9b5f4d61">
              <w:r>
                <w:rPr>
                  <w:rStyle w:val="Hyperlink"/>
                </w:rPr>
                <w:t xml:space="preserve">Person—living arrangement, code N</w:t>
              </w:r>
            </w:hyperlink>
            <w:r>
              <w:rPr>
                <w:rStyle w:val="row-content-rich-text"/>
              </w:rPr>
              <w:t xml:space="preserve">', and </w:t>
            </w:r>
            <w:hyperlink w:history="true" r:id="Ref9e1aee2c964600">
              <w:r>
                <w:rPr>
                  <w:rStyle w:val="Hyperlink"/>
                </w:rPr>
                <w:t xml:space="preserve">'service user postcode'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23e11f97c84cb6">
              <w:r>
                <w:rPr>
                  <w:rStyle w:val="Hyperlink"/>
                </w:rPr>
                <w:t xml:space="preserve">Person—residential setting, NDA code N[N]</w:t>
              </w:r>
            </w:hyperlink>
          </w:p>
          <w:p>
            <w:pPr>
              <w:pStyle w:val="registration-status"/>
              <w:spacing w:before="0" w:after="0"/>
            </w:pPr>
            <w:hyperlink w:history="true" r:id="Rfb7a19c1cce94b0e">
              <w:r>
                <w:rPr>
                  <w:rStyle w:val="Hyperlink"/>
                  <w:color w:val="244061"/>
                </w:rPr>
                <w:t xml:space="preserve">Community Services (retired)</w:t>
              </w:r>
            </w:hyperlink>
            <w:r>
              <w:rPr>
                <w:rStyle w:val="row-content"/>
                <w:color w:val="244061"/>
              </w:rPr>
              <w:t xml:space="preserve">, Superseded 10/04/2013</w:t>
            </w:r>
          </w:p>
          <w:p>
            <w:pPr>
              <w:pStyle w:val="registration-status"/>
              <w:spacing w:before="0" w:after="0"/>
            </w:pPr>
            <w:hyperlink w:history="true" r:id="Re3080572c65943b9">
              <w:r>
                <w:rPr>
                  <w:rStyle w:val="Hyperlink"/>
                  <w:color w:val="244061"/>
                </w:rPr>
                <w:t xml:space="preserve">Disability</w:t>
              </w:r>
            </w:hyperlink>
            <w:r>
              <w:rPr>
                <w:rStyle w:val="row-content"/>
                <w:color w:val="244061"/>
              </w:rPr>
              <w:t xml:space="preserve">, Superseded 29/02/2016</w:t>
            </w:r>
          </w:p>
          <w:p>
            <w:r>
              <w:br/>
            </w:r>
            <w:r>
              <w:rPr>
                <w:rStyle w:val="row-content"/>
              </w:rPr>
              <w:t xml:space="preserve">Has been superseded by </w:t>
            </w:r>
            <w:hyperlink w:history="true" r:id="R101db627144d41bf">
              <w:r>
                <w:rPr>
                  <w:rStyle w:val="Hyperlink"/>
                </w:rPr>
                <w:t xml:space="preserve">Person—residential setting, accommodation type (NDA) code N[N]</w:t>
              </w:r>
            </w:hyperlink>
          </w:p>
          <w:p>
            <w:pPr>
              <w:pStyle w:val="registration-status"/>
              <w:spacing w:before="0" w:after="0"/>
            </w:pPr>
            <w:hyperlink w:history="true" r:id="Re94ac88563764f2c">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46e8c319ed43f3">
              <w:r>
                <w:rPr>
                  <w:rStyle w:val="Hyperlink"/>
                </w:rPr>
                <w:t xml:space="preserve">Disability Services NMDS 2015–16</w:t>
              </w:r>
            </w:hyperlink>
          </w:p>
          <w:p>
            <w:pPr>
              <w:pStyle w:val="registration-status"/>
              <w:spacing w:before="0" w:after="0"/>
            </w:pPr>
            <w:hyperlink w:history="true" r:id="R7afef3cfbcbd4d53">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c336f17c1564b22">
              <w:r>
                <w:rPr>
                  <w:rStyle w:val="Hyperlink"/>
                </w:rPr>
                <w:t xml:space="preserve">Disability Services NMDS 2016–17</w:t>
              </w:r>
            </w:hyperlink>
          </w:p>
          <w:p>
            <w:pPr>
              <w:pStyle w:val="registration-status"/>
              <w:spacing w:before="0" w:after="0"/>
            </w:pPr>
            <w:hyperlink w:history="true" r:id="R162b7f09928745fb">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0de1e149b9e744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621477</w:t>
    </w:r>
    <w:r>
      <w:ptab w:alignment="right" w:relativeTo="margin" w:leader="none"/>
    </w:r>
    <w:r>
      <w:t xml:space="preserve">Page </w:t>
    </w:r>
    <w:fldSimple w:instr="PAGE"/>
    <w:r>
      <w:t xml:space="preserve"> of </w:t>
    </w:r>
    <w:fldSimple w:instr="NUMPAGES"/>
    <w:r>
      <w:ptab w:alignment="left" w:relativeTo="margin" w:leader="none"/>
    </w:r>
    <w:r>
      <w:t>Downloaded 25-Jul-2024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b5d52a8b9040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e1e149b9e74465" /><Relationship Type="http://schemas.openxmlformats.org/officeDocument/2006/relationships/header" Target="/word/header1.xml" Id="R09315726c1ca48d0" /><Relationship Type="http://schemas.openxmlformats.org/officeDocument/2006/relationships/settings" Target="/word/settings.xml" Id="Rb799ac9469224220" /><Relationship Type="http://schemas.openxmlformats.org/officeDocument/2006/relationships/styles" Target="/word/styles.xml" Id="R8b562b6daf854915" /><Relationship Type="http://schemas.openxmlformats.org/officeDocument/2006/relationships/hyperlink" Target="https://meteor.aihw.gov.au/RegistrationAuthority/16" TargetMode="External" Id="Rf8c4db2a95344564" /><Relationship Type="http://schemas.openxmlformats.org/officeDocument/2006/relationships/hyperlink" Target="https://meteor.aihw.gov.au/content/269419" TargetMode="External" Id="R666834069a69445f" /><Relationship Type="http://schemas.openxmlformats.org/officeDocument/2006/relationships/hyperlink" Target="https://meteor.aihw.gov.au/content/386517" TargetMode="External" Id="R98ad1e1337ee412b" /><Relationship Type="http://schemas.openxmlformats.org/officeDocument/2006/relationships/hyperlink" Target="https://meteor.aihw.gov.au/content/270385" TargetMode="External" Id="R507bedcc9b5f4d61" /><Relationship Type="http://schemas.openxmlformats.org/officeDocument/2006/relationships/hyperlink" Target="https://meteor.aihw.gov.au/content/429894" TargetMode="External" Id="Ref9e1aee2c964600" /><Relationship Type="http://schemas.openxmlformats.org/officeDocument/2006/relationships/hyperlink" Target="https://meteor.aihw.gov.au/content/386445" TargetMode="External" Id="R5d23e11f97c84cb6" /><Relationship Type="http://schemas.openxmlformats.org/officeDocument/2006/relationships/hyperlink" Target="https://meteor.aihw.gov.au/RegistrationAuthority/1" TargetMode="External" Id="Rfb7a19c1cce94b0e" /><Relationship Type="http://schemas.openxmlformats.org/officeDocument/2006/relationships/hyperlink" Target="https://meteor.aihw.gov.au/RegistrationAuthority/16" TargetMode="External" Id="Re3080572c65943b9" /><Relationship Type="http://schemas.openxmlformats.org/officeDocument/2006/relationships/hyperlink" Target="https://meteor.aihw.gov.au/content/680311" TargetMode="External" Id="R101db627144d41bf" /><Relationship Type="http://schemas.openxmlformats.org/officeDocument/2006/relationships/hyperlink" Target="https://meteor.aihw.gov.au/RegistrationAuthority/16" TargetMode="External" Id="Re94ac88563764f2c" /><Relationship Type="http://schemas.openxmlformats.org/officeDocument/2006/relationships/hyperlink" Target="https://meteor.aihw.gov.au/content/617391" TargetMode="External" Id="Re246e8c319ed43f3" /><Relationship Type="http://schemas.openxmlformats.org/officeDocument/2006/relationships/hyperlink" Target="https://meteor.aihw.gov.au/RegistrationAuthority/16" TargetMode="External" Id="R7afef3cfbcbd4d53" /><Relationship Type="http://schemas.openxmlformats.org/officeDocument/2006/relationships/hyperlink" Target="https://meteor.aihw.gov.au/content/637867" TargetMode="External" Id="R5c336f17c1564b22" /><Relationship Type="http://schemas.openxmlformats.org/officeDocument/2006/relationships/hyperlink" Target="https://meteor.aihw.gov.au/RegistrationAuthority/16" TargetMode="External" Id="R162b7f09928745fb" /></Relationships>
</file>

<file path=word/_rels/header1.xml.rels>&#65279;<?xml version="1.0" encoding="utf-8"?><Relationships xmlns="http://schemas.openxmlformats.org/package/2006/relationships"><Relationship Type="http://schemas.openxmlformats.org/officeDocument/2006/relationships/image" Target="/media/image.png" Id="Rbdb5d52a8b9040fb" /></Relationships>
</file>