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b97246f2250c4754" /></Relationships>
</file>

<file path=word/document.xml><?xml version="1.0" encoding="utf-8"?>
<w:document xmlns:r="http://schemas.openxmlformats.org/officeDocument/2006/relationships" xmlns:w="http://schemas.openxmlformats.org/wordprocessingml/2006/main">
  <w:body>
    <w:p>
      <w:pPr>
        <w:pStyle w:val="Title"/>
      </w:pPr>
      <w:r>
        <w:t>National Health Performance Authority, Healthy Communities: Expenditure on specialist attendances, 2013–14</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National Health Performance Authority, Healthy Communities: Expenditure on specialist attendances, 2013–14</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Expenditure on specialist attendances, 2013–14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620166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d05027d2ac64dbc">
              <w:r>
                <w:rPr>
                  <w:rStyle w:val="Hyperlink"/>
                  <w:color w:val="244061"/>
                </w:rPr>
                <w:t xml:space="preserve">National Health Performance Authority (retired)</w:t>
              </w:r>
            </w:hyperlink>
            <w:r>
              <w:rPr>
                <w:rStyle w:val="row-content"/>
                <w:color w:val="244061"/>
              </w:rPr>
              <w:t xml:space="preserve">, Retired 01/07/2016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average expenditure on non-hospital specialist attendances per person in a year.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4ffdc84b0fba49b7">
              <w:r>
                <w:rPr>
                  <w:rStyle w:val="Hyperlink"/>
                </w:rPr>
                <w:t xml:space="preserve">National Health Performance Authority: Healthy Communities: 2011–</w:t>
              </w:r>
            </w:hyperlink>
          </w:p>
          <w:p>
            <w:pPr>
              <w:pStyle w:val="registration-status"/>
              <w:spacing w:before="0" w:after="0"/>
            </w:pPr>
            <w:hyperlink w:history="true" r:id="Ra5048b122b9c4d89">
              <w:r>
                <w:rPr>
                  <w:rStyle w:val="Hyperlink"/>
                  <w:color w:val="244061"/>
                </w:rPr>
                <w:t xml:space="preserve">National Health Performance Authority (retired)</w:t>
              </w:r>
            </w:hyperlink>
            <w:r>
              <w:rPr>
                <w:rStyle w:val="row-content"/>
                <w:color w:val="244061"/>
              </w:rPr>
              <w:t xml:space="preserve">, Retired 01/07/2016</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All ages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Average Medicare benefits expenditure per person for non-hospital specialist attendances.</w:t>
            </w:r>
          </w:p>
          <w:p>
            <w:pPr>
              <w:spacing w:after="160"/>
            </w:pPr>
            <w:r>
              <w:rPr>
                <w:rStyle w:val="row-content-rich-text"/>
              </w:rPr>
              <w:t xml:space="preserve">Attendances in this indicator are non-hospital specialist attendances.</w:t>
            </w:r>
          </w:p>
          <w:p>
            <w:pPr>
              <w:spacing w:after="160"/>
            </w:pPr>
            <w:r>
              <w:rPr>
                <w:rStyle w:val="row-content-rich-text"/>
              </w:rPr>
              <w:t xml:space="preserve">Specialist attendances are Medicare benefit funded referred patient/doctor encounters, such as visits, consultations and attendances (including video conferencing), involving medical practitioners who have been recognised as specialists or consultant physicians for Medicare benefits purposes.</w:t>
            </w:r>
          </w:p>
          <w:p>
            <w:pPr>
              <w:spacing w:after="160"/>
            </w:pPr>
            <w:r>
              <w:rPr>
                <w:rStyle w:val="row-content-rich-text"/>
              </w:rPr>
              <w:t xml:space="preserve">Specialist attendances comprise all items in Broad Type of Services Group 'C', as published in official MBS statistics by the Department of Human Services and the Department of Health.</w:t>
            </w:r>
          </w:p>
          <w:p>
            <w:pPr>
              <w:spacing w:after="160"/>
            </w:pPr>
            <w:r>
              <w:rPr>
                <w:rStyle w:val="row-content-rich-text"/>
              </w:rPr>
              <w:t xml:space="preserve">In terms of the MBS structure, specialist attendances comprise all items in Group A3 (specialist attendances to which no other item applies), Group A4 (consultant physician attendances to which no other item applies), Group A8 (consultant psychiatrist attendances to which no other item applies), Group A9 (contact lens attendances), Group A12 (consultant occupational physician attendances to which no other item applies), Group A13 (public health physician attendances to which no other item applies), Group A15, Subgroup 2, but only Items 820 - 880 (case conferences) , Group A21 (medical practitioner (emergency physician) attendances to which no other item applies), Group A24 (pain and palliative medicine), Group A26 (neurosurgery attendances to which no other item applies), Group A28 (geriatric medicine), Group A29 (early intervention for children with autism, pervasive developmental disorder or disability) and Group T6, Subgroup 1 (anaesthesia consultations)</w:t>
            </w:r>
          </w:p>
          <w:p>
            <w:pPr>
              <w:spacing w:after="160"/>
            </w:pPr>
            <w:r>
              <w:rPr>
                <w:rStyle w:val="row-content-rich-text"/>
              </w:rPr>
              <w:t xml:space="preserve">Rates are directly age-standardised to the 2001 Australian population. In undertaking age standardisation of MBS data, the age of each person was determined from the last MBS service of any type, processed by the Department of Human Services in 2013–14.  All MBS services for each individual processed in 2013–14, were attributed this age. For MBS data, Primary Health Network (PHN) and SA3 were derived from the enrolment postcode for each person from the last MBS service of any type, processed by the Department of Human Services in 2013–14.  All MBS services for each individual processed in 2013–14 were attributed to this postcode. MBS postcode level data were allocated to PHN and SA3 regions using concordance files provided by the Australian Bureau of Statistics (ABS).</w:t>
            </w:r>
          </w:p>
          <w:p>
            <w:pPr>
              <w:spacing w:after="160"/>
            </w:pPr>
            <w:r>
              <w:rPr>
                <w:rStyle w:val="row-content-rich-text"/>
              </w:rPr>
              <w:t xml:space="preserve">SA3 level data for 2013-14 are not directly comparable to previous years due to a change in method for allocating post-office box (PO box) addresses to SA3 geographies. The change in method means that data for people with a PO box postcode recorded as their residential address may be included in SA3 totals.</w:t>
            </w:r>
          </w:p>
          <w:p>
            <w:pPr>
              <w:spacing w:after="160"/>
            </w:pPr>
            <w:r>
              <w:rPr>
                <w:rStyle w:val="row-content-rich-text"/>
              </w:rPr>
              <w:t xml:space="preserve">Individual SA3 level data has been provided for the Northern Territory for 2013-14. Previously, this data was provided at the state level only.</w:t>
            </w:r>
          </w:p>
          <w:p>
            <w:pPr>
              <w:spacing w:after="160"/>
            </w:pPr>
            <w:r>
              <w:rPr>
                <w:rStyle w:val="row-content-rich-text"/>
              </w:rPr>
              <w:t xml:space="preserve">Numerator data - Medicare (MBS) data provided by Department of Health for the financial year of processing, 2013–14.</w:t>
            </w:r>
          </w:p>
          <w:p>
            <w:pPr>
              <w:spacing w:after="160"/>
            </w:pPr>
            <w:r>
              <w:rPr>
                <w:rStyle w:val="row-content-rich-text"/>
              </w:rPr>
              <w:t xml:space="preserve">Denominator data – Estimated Resident Population at 30 June 2013 provided by the ABS. </w:t>
            </w:r>
          </w:p>
          <w:p>
            <w:pPr>
              <w:spacing w:after="160"/>
            </w:pPr>
            <w:r>
              <w:rPr>
                <w:rStyle w:val="row-content-rich-text"/>
              </w:rPr>
              <w:t xml:space="preserve">Data elements used in computing the numerator were MBS item number, age of patient (based on age derived from the last MBS service processed for each individual in 2013–14) and patient enrolment postcode (based on the enrolment postcode from the last MBS service processed for each individual in 2013–14).</w:t>
            </w:r>
          </w:p>
          <w:p>
            <w:pPr>
              <w:spacing w:after="160"/>
            </w:pPr>
            <w:r>
              <w:rPr>
                <w:rStyle w:val="row-content-rich-text"/>
              </w:rPr>
              <w:t xml:space="preserve">Presented as average dollar amount per person.</w:t>
            </w:r>
          </w:p>
          <w:p>
            <w:pPr>
              <w:spacing w:after="160"/>
            </w:pPr>
            <w:r>
              <w:rPr>
                <w:rStyle w:val="row-content-rich-text"/>
              </w:rPr>
              <w:t xml:space="preserve">Before MBS data are published by NHPA all confidential data cells are suppressed.</w:t>
            </w:r>
          </w:p>
          <w:p>
            <w:pPr>
              <w:spacing w:after="160"/>
            </w:pPr>
            <w:r>
              <w:rPr>
                <w:rStyle w:val="row-content-rich-text"/>
              </w:rPr>
              <w:t xml:space="preserve">The current definition of confidential data is as follows:</w:t>
            </w:r>
          </w:p>
          <w:p>
            <w:pPr>
              <w:pStyle w:val="ListParagraph"/>
              <w:numPr>
                <w:ilvl w:val="0"/>
                <w:numId w:val="2"/>
              </w:numPr>
            </w:pPr>
            <w:r>
              <w:rPr>
                <w:rStyle w:val="row-content-rich-text"/>
              </w:rPr>
              <w:t xml:space="preserve">For number of MBS services and Medicare benefits expenditure:</w:t>
            </w:r>
            <w:r>
              <w:br/>
            </w:r>
            <w:r>
              <w:rPr>
                <w:rStyle w:val="row-content-rich-text"/>
              </w:rPr>
              <w:t xml:space="preserve">        • if number of services is less than 6 or</w:t>
            </w:r>
            <w:r>
              <w:br/>
            </w:r>
            <w:r>
              <w:rPr>
                <w:rStyle w:val="row-content-rich-text"/>
              </w:rPr>
              <w:t xml:space="preserve">        • if number of services is equal to or greater than 6 but</w:t>
            </w:r>
            <w:r>
              <w:br/>
            </w:r>
            <w:r>
              <w:rPr>
                <w:rStyle w:val="row-content-rich-text"/>
              </w:rPr>
              <w:t xml:space="preserve">                • one provider provides more than 85% of services or two providers provide more than 90% of services or</w:t>
            </w:r>
            <w:r>
              <w:br/>
            </w:r>
            <w:r>
              <w:rPr>
                <w:rStyle w:val="row-content-rich-text"/>
              </w:rPr>
              <w:t xml:space="preserve">                • one patient receives more than 85% of services or two patients receive more than 90% of services. </w:t>
            </w:r>
          </w:p>
          <w:p>
            <w:pPr>
              <w:pStyle w:val="ListParagraph"/>
              <w:numPr>
                <w:ilvl w:val="0"/>
                <w:numId w:val="2"/>
              </w:numPr>
            </w:pPr>
            <w:r>
              <w:rPr>
                <w:rStyle w:val="row-content-rich-text"/>
              </w:rPr>
              <w:t xml:space="preserve">If data on number of services is confidential, corresponding data on other measures such as MBS benefit paid is also regarded as confidential.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Numerator ÷ Denominator</w:t>
            </w:r>
          </w:p>
          <w:p>
            <w:pPr>
              <w:spacing w:after="160"/>
            </w:pPr>
            <w:r>
              <w:rPr>
                <w:rStyle w:val="row-content-rich-text"/>
              </w:rPr>
              <w:t xml:space="preserve">Expenditure on specialist attendances</w:t>
            </w:r>
          </w:p>
          <w:p>
            <w:pPr>
              <w:spacing w:after="160"/>
            </w:pPr>
            <w:r>
              <w:rPr>
                <w:rStyle w:val="row-content-rich-text"/>
              </w:rPr>
              <w:t xml:space="preserve">Expenditure on specialist attendances, age-standardised</w:t>
            </w:r>
          </w:p>
          <w:p>
            <w:pPr>
              <w:spacing w:after="160"/>
            </w:pPr>
            <w:r>
              <w:rPr>
                <w:rStyle w:val="row-content-rich-text"/>
              </w:rPr>
              <w:t xml:space="preserve">For more information about age-standardisation, please see:</w:t>
            </w:r>
          </w:p>
          <w:p>
            <w:hyperlink w:history="true" r:id="R0daf1ff353024f02">
              <w:r>
                <w:rPr>
                  <w:rStyle w:val="Hyperlink"/>
                  <w:u w:val="single"/>
                </w:rPr>
                <w:t xml:space="preserve">/content/index.phtml/itemId/327276</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Total Medicare benefits expenditure for specialist attendances claimed through the Medicare Benefits Schedule (MBS)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29a29d03d8834a12">
              <w:r>
                <w:rPr>
                  <w:rStyle w:val="Hyperlink"/>
                </w:rPr>
                <w:t xml:space="preserve">Person—age, total years N[NN]</w:t>
              </w:r>
            </w:hyperlink>
          </w:p>
          <w:p>
            <w:r>
              <w:rPr>
                <w:rStyle w:val="row-content"/>
                <w:b/>
              </w:rPr>
              <w:t xml:space="preserve">Data Source</w:t>
            </w:r>
          </w:p>
          <w:p>
            <w:hyperlink w:history="true" r:id="R3a66cc186f5a4c11">
              <w:r>
                <w:rPr>
                  <w:rStyle w:val="Hyperlink"/>
                </w:rPr>
                <w:t xml:space="preserve">Medicare (MBS) data</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ec98dee90cf2454b">
              <w:r>
                <w:rPr>
                  <w:rStyle w:val="Hyperlink"/>
                </w:rPr>
                <w:t xml:space="preserve">Person—specialist MBS health assessment indicator, yes/no code N</w:t>
              </w:r>
            </w:hyperlink>
          </w:p>
          <w:p>
            <w:r>
              <w:rPr>
                <w:rStyle w:val="row-content"/>
                <w:b/>
              </w:rPr>
              <w:t xml:space="preserve">Data Source</w:t>
            </w:r>
          </w:p>
          <w:p>
            <w:hyperlink w:history="true" r:id="Rc34dd369d0144653">
              <w:r>
                <w:rPr>
                  <w:rStyle w:val="Hyperlink"/>
                </w:rPr>
                <w:t xml:space="preserve">Medicare (MBS) data</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389633038dae4e07">
              <w:r>
                <w:rPr>
                  <w:rStyle w:val="Hyperlink"/>
                </w:rPr>
                <w:t xml:space="preserve">Person—Medicare Benefits Schedule (MBS) benefit for specialist service, total Australian currency N[N(8)]</w:t>
              </w:r>
            </w:hyperlink>
          </w:p>
          <w:p>
            <w:r>
              <w:rPr>
                <w:rStyle w:val="row-content"/>
                <w:b/>
              </w:rPr>
              <w:t xml:space="preserve">Data Source</w:t>
            </w:r>
          </w:p>
          <w:p>
            <w:hyperlink w:history="true" r:id="R71bc01b36f094b6f">
              <w:r>
                <w:rPr>
                  <w:rStyle w:val="Hyperlink"/>
                </w:rPr>
                <w:t xml:space="preserve">Medicare (MBS) data</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2a8c878668df4626">
              <w:r>
                <w:rPr>
                  <w:rStyle w:val="Hyperlink"/>
                </w:rPr>
                <w:t xml:space="preserve">Service event—Medicare Benefits Schedule (MBS) processing date, DDMMYYYY</w:t>
              </w:r>
            </w:hyperlink>
          </w:p>
          <w:p>
            <w:r>
              <w:rPr>
                <w:rStyle w:val="row-content"/>
                <w:b/>
              </w:rPr>
              <w:t xml:space="preserve">Data Source</w:t>
            </w:r>
          </w:p>
          <w:p>
            <w:hyperlink w:history="true" r:id="Rff6a269838734f15">
              <w:r>
                <w:rPr>
                  <w:rStyle w:val="Hyperlink"/>
                </w:rPr>
                <w:t xml:space="preserve">Medicare (MBS) data</w:t>
              </w:r>
            </w:hyperlink>
          </w:p>
          <w:p>
            <w:r>
              <w:rPr>
                <w:rStyle w:val="row-content"/>
                <w:b/>
              </w:rPr>
              <w:t xml:space="preserve">Guide for use</w:t>
            </w:r>
          </w:p>
          <w:p>
            <w:r>
              <w:rPr>
                <w:rStyle w:val="row-content"/>
              </w:rPr>
              <w:t xml:space="preserve">Data source type: Administrative by-product data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Total estimated resident population (ERP)</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20367f70ca764fcc">
              <w:r>
                <w:rPr>
                  <w:rStyle w:val="Hyperlink"/>
                </w:rPr>
                <w:t xml:space="preserve">Person—estimated resident population of Australia, total people N[N(7)]</w:t>
              </w:r>
            </w:hyperlink>
          </w:p>
          <w:p>
            <w:r>
              <w:rPr>
                <w:rStyle w:val="row-content"/>
                <w:b/>
              </w:rPr>
              <w:t xml:space="preserve">Data Source</w:t>
            </w:r>
          </w:p>
          <w:p>
            <w:hyperlink w:history="true" r:id="Rc10fdc257f5b42f7">
              <w:r>
                <w:rPr>
                  <w:rStyle w:val="Hyperlink"/>
                </w:rPr>
                <w:t xml:space="preserve">ABS Estimated resident population (total population)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r>
              <w:rPr>
                <w:rStyle w:val="row-content-rich-text"/>
              </w:rPr>
              <w:t xml:space="preserve">By Primary Health Network areas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8d56423481674c6f">
              <w:r>
                <w:rPr>
                  <w:rStyle w:val="Hyperlink"/>
                </w:rPr>
                <w:t xml:space="preserve">Address—statistical area, level 3 (SA3) code (ASGS 2011) NNNNN</w:t>
              </w:r>
            </w:hyperlink>
          </w:p>
          <w:p>
            <w:r>
              <w:rPr>
                <w:rStyle w:val="row-content"/>
              </w:rPr>
              <w:t xml:space="preserve"> </w:t>
            </w:r>
          </w:p>
          <w:p>
            <w:r>
              <w:rPr>
                <w:rStyle w:val="row-content"/>
                <w:b/>
                <w:color w:val="000000"/>
              </w:rPr>
              <w:t xml:space="preserve">Data Element / Data Set</w:t>
            </w:r>
          </w:p>
          <w:p>
            <w:hyperlink w:history="true" r:id="R06d02fc6a94647b8">
              <w:r>
                <w:rPr>
                  <w:rStyle w:val="Hyperlink"/>
                </w:rPr>
                <w:t xml:space="preserve">Administrative health region—Primary Health Network identifier, code AAANNN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The Medicare Benefits Schedule (MBS) has complete coverage of out-of-hospital specialist services with the exception of those involving eligible war veterans and their dependents. For in-hospital services, the MBS covers private services only. As MBS specialist attendances data do not include attendances involving public patients in hospital and public outpatients, MBS specialist attendances data have only been published for non-hospital specialist attendances.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Mean (average)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Monetary amount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Currency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c42d49a1c9e34d8a">
              <w:r>
                <w:rPr>
                  <w:rStyle w:val="Hyperlink"/>
                </w:rPr>
                <w:t xml:space="preserve">PAF-Equity of access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48050cfb35a846b9">
              <w:r>
                <w:rPr>
                  <w:rStyle w:val="Hyperlink"/>
                </w:rPr>
                <w:t xml:space="preserve">ABS Estimated resident population (total population)</w:t>
              </w:r>
            </w:hyperlink>
          </w:p>
          <w:p>
            <w:r>
              <w:rPr>
                <w:rStyle w:val="row-content"/>
                <w:b/>
              </w:rPr>
              <w:t xml:space="preserve">Frequency</w:t>
            </w:r>
          </w:p>
          <w:p>
            <w:r>
              <w:rPr>
                <w:rStyle w:val="row-content"/>
              </w:rPr>
              <w:t xml:space="preserve">Quarterly</w:t>
            </w:r>
          </w:p>
          <w:p>
            <w:r>
              <w:rPr>
                <w:rStyle w:val="row-content"/>
                <w:b/>
              </w:rPr>
              <w:t xml:space="preserve">Data quality statement</w:t>
            </w:r>
          </w:p>
          <w:p>
            <w:hyperlink w:history="true" r:id="R5bc00862aab64205">
              <w:r>
                <w:rPr>
                  <w:rStyle w:val="Hyperlink"/>
                </w:rPr>
                <w:t xml:space="preserve">ABS Estimated resident population (total population), QS</w:t>
              </w:r>
            </w:hyperlink>
          </w:p>
          <w:p>
            <w:r>
              <w:rPr>
                <w:rStyle w:val="row-content"/>
                <w:b/>
              </w:rPr>
              <w:t xml:space="preserve">Data custodian</w:t>
            </w:r>
          </w:p>
          <w:p>
            <w:r>
              <w:rPr>
                <w:rStyle w:val="row-content"/>
              </w:rPr>
              <w:t xml:space="preserve">Australian Bureau of Statistics</w:t>
            </w:r>
          </w:p>
          <w:p>
            <w:r>
              <w:rPr>
                <w:rStyle w:val="row-content"/>
              </w:rPr>
              <w:t xml:space="preserve"> </w:t>
            </w:r>
          </w:p>
          <w:p>
            <w:r>
              <w:rPr>
                <w:rStyle w:val="row-content"/>
                <w:b/>
                <w:color w:val="000000"/>
              </w:rPr>
              <w:t xml:space="preserve">Data Source</w:t>
            </w:r>
          </w:p>
          <w:p>
            <w:hyperlink w:history="true" r:id="R4510df34bb6c44ca">
              <w:r>
                <w:rPr>
                  <w:rStyle w:val="Hyperlink"/>
                </w:rPr>
                <w:t xml:space="preserve">Medicare (MBS) data</w:t>
              </w:r>
            </w:hyperlink>
          </w:p>
          <w:p>
            <w:r>
              <w:rPr>
                <w:rStyle w:val="row-content"/>
                <w:b/>
              </w:rPr>
              <w:t xml:space="preserve">Frequency</w:t>
            </w:r>
          </w:p>
          <w:p>
            <w:r>
              <w:rPr>
                <w:rStyle w:val="row-content"/>
              </w:rPr>
              <w:t xml:space="preserve">Annually</w:t>
            </w:r>
          </w:p>
          <w:p>
            <w:r>
              <w:rPr>
                <w:rStyle w:val="row-content"/>
                <w:b/>
              </w:rPr>
              <w:t xml:space="preserve">Data custodian</w:t>
            </w:r>
          </w:p>
          <w:p>
            <w:r>
              <w:rPr>
                <w:rStyle w:val="row-content"/>
              </w:rPr>
              <w:t xml:space="preserve">Department of Health</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Methodology:</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Agreement-Performance and Accountability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For MBS Department of Health</w:t>
            </w:r>
          </w:p>
          <w:p>
            <w:pPr/>
            <w:r>
              <w:rPr>
                <w:rStyle w:val="row-content-rich-text"/>
              </w:rPr>
              <w:t xml:space="preserve">For ERP Australian Bureau of Statistics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Release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19/11/2015</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Health Performance Authority</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Healthy Communities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Agreement-Performance and Accountability Framework</w:t>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3fd3a5b88d034b03">
              <w:r>
                <w:rPr>
                  <w:rStyle w:val="Hyperlink"/>
                </w:rPr>
                <w:t xml:space="preserve">National Health Performance Authority, Healthy Communities: Expenditure on specialist attendances, 2011–12</w:t>
              </w:r>
            </w:hyperlink>
          </w:p>
          <w:p>
            <w:pPr>
              <w:pStyle w:val="registration-status"/>
              <w:spacing w:before="0" w:after="0"/>
            </w:pPr>
            <w:hyperlink w:history="true" r:id="R2376ee9091854d62">
              <w:r>
                <w:rPr>
                  <w:rStyle w:val="Hyperlink"/>
                  <w:color w:val="244061"/>
                </w:rPr>
                <w:t xml:space="preserve">National Health Performance Authority (retired)</w:t>
              </w:r>
            </w:hyperlink>
            <w:r>
              <w:rPr>
                <w:rStyle w:val="row-content"/>
                <w:color w:val="244061"/>
              </w:rPr>
              <w:t xml:space="preserve">, Superseded 27/03/2014</w:t>
            </w:r>
          </w:p>
          <w:p>
            <w:r>
              <w:br/>
            </w:r>
            <w:r>
              <w:rPr>
                <w:rStyle w:val="row-content"/>
              </w:rPr>
              <w:t xml:space="preserve">Supersedes </w:t>
            </w:r>
            <w:hyperlink w:history="true" r:id="Rbaa5bc4800dc4d75">
              <w:r>
                <w:rPr>
                  <w:rStyle w:val="Hyperlink"/>
                </w:rPr>
                <w:t xml:space="preserve">National Health Performance Authority, Healthy Communities: Expenditure on specialist attendances, 2012–13</w:t>
              </w:r>
            </w:hyperlink>
          </w:p>
          <w:p>
            <w:pPr>
              <w:pStyle w:val="registration-status"/>
              <w:spacing w:before="0" w:after="0"/>
            </w:pPr>
            <w:hyperlink w:history="true" r:id="Re98917f7a7d24f37">
              <w:r>
                <w:rPr>
                  <w:rStyle w:val="Hyperlink"/>
                  <w:color w:val="244061"/>
                </w:rPr>
                <w:t xml:space="preserve">National Health Performance Authority (retired)</w:t>
              </w:r>
            </w:hyperlink>
            <w:r>
              <w:rPr>
                <w:rStyle w:val="row-content"/>
                <w:color w:val="244061"/>
              </w:rPr>
              <w:t xml:space="preserve">, Retired 01/07/2016</w:t>
            </w:r>
          </w:p>
          <w:p>
            <w:r>
              <w:br/>
            </w:r>
          </w:p>
        </w:tc>
      </w:tr>
    </w:tbl>
    <w:p>
      <w:r>
        <w:br/>
      </w:r>
    </w:p>
    <w:sectPr>
      <w:footerReference xmlns:r="http://schemas.openxmlformats.org/officeDocument/2006/relationships" w:type="default" r:id="R12503eca7e3b4c8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620166</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54dc43d2d84411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2503eca7e3b4c89" /><Relationship Type="http://schemas.openxmlformats.org/officeDocument/2006/relationships/header" Target="/word/header1.xml" Id="Rd79f6d46fca04486" /><Relationship Type="http://schemas.openxmlformats.org/officeDocument/2006/relationships/settings" Target="/word/settings.xml" Id="Ra18813e9ac68420b" /><Relationship Type="http://schemas.openxmlformats.org/officeDocument/2006/relationships/styles" Target="/word/styles.xml" Id="R84d57f5fc4094d9c" /><Relationship Type="http://schemas.openxmlformats.org/officeDocument/2006/relationships/numbering" Target="/word/numbering.xml" Id="R5eb9070f40dc404a" /><Relationship Type="http://schemas.openxmlformats.org/officeDocument/2006/relationships/hyperlink" Target="https://meteor.aihw.gov.au/RegistrationAuthority/8" TargetMode="External" Id="Rdd05027d2ac64dbc" /><Relationship Type="http://schemas.openxmlformats.org/officeDocument/2006/relationships/hyperlink" Target="https://meteor.aihw.gov.au/content/550329" TargetMode="External" Id="R4ffdc84b0fba49b7" /><Relationship Type="http://schemas.openxmlformats.org/officeDocument/2006/relationships/hyperlink" Target="https://meteor.aihw.gov.au/RegistrationAuthority/8" TargetMode="External" Id="Ra5048b122b9c4d89" /><Relationship Type="http://schemas.openxmlformats.org/officeDocument/2006/relationships/hyperlink" Target="https://meteor.aihw.gov.au/content/327276" TargetMode="External" Id="R0daf1ff353024f02" /><Relationship Type="http://schemas.openxmlformats.org/officeDocument/2006/relationships/hyperlink" Target="https://meteor.aihw.gov.au/content/303794" TargetMode="External" Id="R29a29d03d8834a12" /><Relationship Type="http://schemas.openxmlformats.org/officeDocument/2006/relationships/hyperlink" Target="https://meteor.aihw.gov.au/content/394305" TargetMode="External" Id="R3a66cc186f5a4c11" /><Relationship Type="http://schemas.openxmlformats.org/officeDocument/2006/relationships/hyperlink" Target="https://meteor.aihw.gov.au/content/504845" TargetMode="External" Id="Rec98dee90cf2454b" /><Relationship Type="http://schemas.openxmlformats.org/officeDocument/2006/relationships/hyperlink" Target="https://meteor.aihw.gov.au/content/394305" TargetMode="External" Id="Rc34dd369d0144653" /><Relationship Type="http://schemas.openxmlformats.org/officeDocument/2006/relationships/hyperlink" Target="https://meteor.aihw.gov.au/content/556892" TargetMode="External" Id="R389633038dae4e07" /><Relationship Type="http://schemas.openxmlformats.org/officeDocument/2006/relationships/hyperlink" Target="https://meteor.aihw.gov.au/content/394305" TargetMode="External" Id="R71bc01b36f094b6f" /><Relationship Type="http://schemas.openxmlformats.org/officeDocument/2006/relationships/hyperlink" Target="https://meteor.aihw.gov.au/content/573414" TargetMode="External" Id="R2a8c878668df4626" /><Relationship Type="http://schemas.openxmlformats.org/officeDocument/2006/relationships/hyperlink" Target="https://meteor.aihw.gov.au/content/394305" TargetMode="External" Id="Rff6a269838734f15" /><Relationship Type="http://schemas.openxmlformats.org/officeDocument/2006/relationships/hyperlink" Target="https://meteor.aihw.gov.au/content/388656" TargetMode="External" Id="R20367f70ca764fcc" /><Relationship Type="http://schemas.openxmlformats.org/officeDocument/2006/relationships/hyperlink" Target="https://meteor.aihw.gov.au/content/393625" TargetMode="External" Id="Rc10fdc257f5b42f7" /><Relationship Type="http://schemas.openxmlformats.org/officeDocument/2006/relationships/hyperlink" Target="https://meteor.aihw.gov.au/content/457293" TargetMode="External" Id="R8d56423481674c6f" /><Relationship Type="http://schemas.openxmlformats.org/officeDocument/2006/relationships/hyperlink" Target="https://meteor.aihw.gov.au/content/611088" TargetMode="External" Id="R06d02fc6a94647b8" /><Relationship Type="http://schemas.openxmlformats.org/officeDocument/2006/relationships/hyperlink" Target="https://meteor.aihw.gov.au/content/554927" TargetMode="External" Id="Rc42d49a1c9e34d8a" /><Relationship Type="http://schemas.openxmlformats.org/officeDocument/2006/relationships/hyperlink" Target="https://meteor.aihw.gov.au/content/393625" TargetMode="External" Id="R48050cfb35a846b9" /><Relationship Type="http://schemas.openxmlformats.org/officeDocument/2006/relationships/hyperlink" Target="https://meteor.aihw.gov.au/content/449216" TargetMode="External" Id="R5bc00862aab64205" /><Relationship Type="http://schemas.openxmlformats.org/officeDocument/2006/relationships/hyperlink" Target="https://meteor.aihw.gov.au/content/394305" TargetMode="External" Id="R4510df34bb6c44ca" /><Relationship Type="http://schemas.openxmlformats.org/officeDocument/2006/relationships/hyperlink" Target="https://meteor.aihw.gov.au/content/547090" TargetMode="External" Id="R3fd3a5b88d034b03" /><Relationship Type="http://schemas.openxmlformats.org/officeDocument/2006/relationships/hyperlink" Target="https://meteor.aihw.gov.au/RegistrationAuthority/8" TargetMode="External" Id="R2376ee9091854d62" /><Relationship Type="http://schemas.openxmlformats.org/officeDocument/2006/relationships/hyperlink" Target="https://meteor.aihw.gov.au/content/547958" TargetMode="External" Id="Rbaa5bc4800dc4d75" /><Relationship Type="http://schemas.openxmlformats.org/officeDocument/2006/relationships/hyperlink" Target="https://meteor.aihw.gov.au/RegistrationAuthority/8" TargetMode="External" Id="Re98917f7a7d24f37" /></Relationships>
</file>

<file path=word/_rels/header1.xml.rels>&#65279;<?xml version="1.0" encoding="utf-8"?><Relationships xmlns="http://schemas.openxmlformats.org/package/2006/relationships"><Relationship Type="http://schemas.openxmlformats.org/officeDocument/2006/relationships/image" Target="/media/image.png" Id="R854dc43d2d844111" /></Relationships>
</file>