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cb5aa441b04173"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2013–14: National Residential Mental Health Care Database,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2013–14: National Residential Mental Health Care Database,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20be78d0e94527">
              <w:r>
                <w:rPr>
                  <w:rStyle w:val="Hyperlink"/>
                  <w:color w:val="244061"/>
                </w:rPr>
                <w:t xml:space="preserve">AIHW Data Quality Statements</w:t>
              </w:r>
            </w:hyperlink>
            <w:r>
              <w:rPr>
                <w:rStyle w:val="row-content"/>
                <w:color w:val="244061"/>
              </w:rPr>
              <w:t xml:space="preserve">, Superseded 14/10/2016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pStyle w:val="ListParagraph"/>
              <w:numPr>
                <w:ilvl w:val="0"/>
                <w:numId w:val="2"/>
              </w:numPr>
            </w:pPr>
            <w:r>
              <w:rPr>
                <w:rStyle w:val="row-content-rich-text"/>
              </w:rPr>
              <w:t xml:space="preserve">The inclusion of government-funded, non-government-operated services and services that are not staffed for 24 hours a day is optional. </w:t>
            </w:r>
          </w:p>
          <w:p>
            <w:pPr>
              <w:pStyle w:val="ListParagraph"/>
              <w:numPr>
                <w:ilvl w:val="0"/>
                <w:numId w:val="2"/>
              </w:numPr>
            </w:pPr>
            <w:r>
              <w:rPr>
                <w:rStyle w:val="row-content-rich-text"/>
              </w:rPr>
              <w:t xml:space="preserve">The Indigenous status data in the database should be interpreted with caution due to the varying and, in some instances, unknown quality of Indigenous identification across jurisdictions. </w:t>
            </w:r>
          </w:p>
          <w:p>
            <w:pPr>
              <w:pStyle w:val="Heading2"/>
            </w:pPr>
            <w:r>
              <w:rPr>
                <w:rStyle w:val="row-content-rich-text"/>
              </w:rPr>
              <w:t xml:space="preserve">Description</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link). The NRMHCD includes data for each year from 2004–05 to 2013–14.</w:t>
            </w:r>
          </w:p>
          <w:p>
            <w:pPr>
              <w:spacing w:after="160"/>
            </w:pPr>
            <w:r>
              <w:rPr>
                <w:rStyle w:val="row-content-rich-text"/>
              </w:rPr>
              <w:t xml:space="preserve">Data collated include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spacing w:after="160"/>
            </w:pPr>
            <w:r>
              <w:rPr>
                <w:rStyle w:val="row-content-rich-text"/>
              </w:rPr>
              <w:t xml:space="preserve">The RMHC NMDS is associated with the Mental health establishments (MHE) NMDS.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4b4f4112ecfa46ad">
              <w:r>
                <w:rPr>
                  <w:rStyle w:val="Hyperlink"/>
                  <w:i/>
                </w:rPr>
                <w:t xml:space="preserve">Australian Institute of Health and Welfare Act</w:t>
              </w:r>
              <w:r>
                <w:rPr>
                  <w:rStyle w:val="row-content-rich-text"/>
                </w:rPr>
                <w:t xml:space="preserve"> 1987 </w:t>
              </w:r>
            </w:hyperlink>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hyperlink w:history="true" r:id="Rf631a95bf74c45d8">
              <w:r>
                <w:rPr>
                  <w:rStyle w:val="Hyperlink"/>
                  <w:i/>
                </w:rPr>
                <w:t xml:space="preserve">The Australian Institute of Health and Welfare Act</w:t>
              </w:r>
              <w:r>
                <w:rPr>
                  <w:rStyle w:val="row-content-rich-text"/>
                </w:rPr>
                <w:t xml:space="preserve"> 1987</w:t>
              </w:r>
            </w:hyperlink>
            <w:r>
              <w:rPr>
                <w:rStyle w:val="row-content-rich-text"/>
              </w:rPr>
              <w:t xml:space="preserve">, in conjunction with compliance to the </w:t>
            </w:r>
            <w:hyperlink w:history="true" r:id="R422c5c5a98c24adf">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www.aihw.gov.au</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13a243d22ddc4a20">
              <w:r>
                <w:rPr>
                  <w:rStyle w:val="Hyperlink"/>
                </w:rPr>
                <w:t xml:space="preserve">link</w:t>
              </w:r>
            </w:hyperlink>
            <w:r>
              <w:rPr>
                <w:rStyle w:val="row-content-rich-text"/>
              </w:rPr>
              <w:t xml:space="preserve">), as specified by the RMHC NMDS (see ‘Interpretability’ section below).</w:t>
            </w:r>
          </w:p>
          <w:p>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hyperlink w:history="true" r:id="R64f3e0ba5f544e38">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were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2013–14, that is, residential episodes occurring between 1 July 2013 and 30 June 2014. Data for the 2013–14 reference period were supplied to the AIHW at the end of December 2014.</w:t>
            </w:r>
          </w:p>
          <w:p>
            <w:pPr/>
            <w:r>
              <w:rPr>
                <w:rStyle w:val="row-content-rich-text"/>
              </w:rPr>
              <w:t xml:space="preserve">The AIHW publishes data from the NRMHCD in</w:t>
            </w:r>
            <w:r>
              <w:rPr>
                <w:rStyle w:val="row-content-rich-text"/>
                <w:i/>
              </w:rPr>
              <w:t xml:space="preserve"> Mental health services in Australia</w:t>
            </w:r>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bca6c1c03bf34005">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w:t>
            </w:r>
          </w:p>
          <w:p>
            <w:pPr>
              <w:spacing w:after="160"/>
            </w:pPr>
            <w:r>
              <w:rPr>
                <w:rStyle w:val="row-content-rich-text"/>
              </w:rPr>
              <w:t xml:space="preserve">METeOR can be accessed on the AIHW website:</w:t>
            </w:r>
          </w:p>
          <w:p>
            <w:hyperlink w:history="true" r:id="Rb81338e431bf4a27">
              <w:r>
                <w:rPr>
                  <w:rStyle w:val="Hyperlink"/>
                </w:rPr>
                <w:t xml:space="preserve">/content/index.phtml/itemId/181162</w:t>
              </w:r>
            </w:hyperlink>
          </w:p>
          <w:p>
            <w:pPr>
              <w:spacing w:after="160"/>
            </w:pPr>
            <w:r>
              <w:rPr>
                <w:rStyle w:val="row-content-rich-text"/>
              </w:rPr>
              <w:t xml:space="preserve"> </w:t>
            </w:r>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4ae2e0e2a3d249f3">
              <w:r>
                <w:rPr>
                  <w:rStyle w:val="Hyperlink"/>
                </w:rPr>
                <w:t xml:space="preserve">Aged Care Act 1997 </w:t>
              </w:r>
            </w:hyperlink>
            <w:r>
              <w:rPr>
                <w:rStyle w:val="row-content-rich-text"/>
              </w:rPr>
              <w:t xml:space="preserve">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(for example, through the formal start of the residential stay or the start of a new reference period (that is, 1 July)) and the end of residential care (for example, the formal end of residential care,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Data from non-government services and services with non-24-hour staffing are reported to the NRMHCD optionally by individual jurisdictions. Therefore, comparisons between jurisdictions should be made with caution. For the 2013–14 data, of the 79 services included in the collection, all but 11 of the services reported had mental health trained staff on-site 24 hours a day. Data from 11 non-government services were included in the 2013–14 collection.</w:t>
            </w:r>
          </w:p>
          <w:p>
            <w:pPr>
              <w:spacing w:after="160"/>
            </w:pPr>
            <w:r>
              <w:rPr>
                <w:rStyle w:val="row-content-rich-text"/>
              </w:rPr>
              <w:t xml:space="preserve">Queensland does not report any in-scope government-operated residential mental health services to this collection.</w:t>
            </w:r>
          </w:p>
          <w:p>
            <w:pPr>
              <w:spacing w:after="160"/>
            </w:pPr>
            <w:r>
              <w:rPr>
                <w:rStyle w:val="row-content-rich-text"/>
                <w:i/>
              </w:rPr>
              <w:t xml:space="preserve">Indigenous status</w:t>
            </w:r>
          </w:p>
          <w:p>
            <w:pPr>
              <w:spacing w:after="160"/>
            </w:pPr>
            <w:r>
              <w:rPr>
                <w:rStyle w:val="row-content-rich-text"/>
              </w:rPr>
              <w:t xml:space="preserve">Among the jurisdictions, the data quality and completeness of Indigenous identification varies or, in some cases, is unknown. Indigenous status is missing for 3% of episodes in the 2013–14 NRMHCD.</w:t>
            </w:r>
          </w:p>
          <w:p>
            <w:pPr>
              <w:spacing w:after="160"/>
            </w:pPr>
            <w:r>
              <w:rPr>
                <w:rStyle w:val="row-content-rich-text"/>
              </w:rPr>
              <w:t xml:space="preserve">States and territories provided information on the quality of the Indigenous status data for 2013–14 as follows:</w:t>
            </w:r>
          </w:p>
          <w:p>
            <w:pPr>
              <w:spacing w:after="160"/>
            </w:pPr>
            <w:r>
              <w:rPr>
                <w:rStyle w:val="row-content-rich-text"/>
              </w:rPr>
              <w:t xml:space="preserve">·         All states and territories considered the quality of their Indigenous status data to be acceptable.</w:t>
            </w:r>
          </w:p>
          <w:p>
            <w:pPr>
              <w:spacing w:after="160"/>
            </w:pPr>
            <w:r>
              <w:rPr>
                <w:rStyle w:val="row-content-rich-text"/>
              </w:rPr>
              <w:t xml:space="preserve">·         However, each jurisdiction (excluding the Northern Territory and South Australia), cited improvement in the collection of Indigenous status as being required. These improvements include  a focus on the NGO data, with the collection undergoing a  rigorous quality assurance cycle to determine data quality and improvements based on the National best practice guidelines for collecting Indigenous status in health data sets (AIHW 2010).</w:t>
            </w:r>
          </w:p>
          <w:p>
            <w:pPr>
              <w:spacing w:after="160"/>
            </w:pPr>
            <w:r>
              <w:rPr>
                <w:rStyle w:val="row-content-rich-text"/>
                <w:i/>
              </w:rPr>
              <w:t xml:space="preserve">Remoteness area and SEIFA</w:t>
            </w:r>
          </w:p>
          <w:p>
            <w:pPr>
              <w:spacing w:after="160"/>
            </w:pPr>
            <w:r>
              <w:rPr>
                <w:rStyle w:val="row-content-rich-text"/>
              </w:rPr>
              <w:t xml:space="preserve">Numerators for remoteness area and SEIFA are based on the reported area of usual residence of the patient, regardless of the location or jurisdiction of the service provider.</w:t>
            </w:r>
          </w:p>
          <w:p>
            <w:pPr>
              <w:spacing w:after="160"/>
            </w:pPr>
            <w:r>
              <w:rPr>
                <w:rStyle w:val="row-content-rich-text"/>
                <w:i/>
              </w:rPr>
              <w:t xml:space="preserve">Referral type</w:t>
            </w:r>
          </w:p>
          <w:p>
            <w:pPr/>
            <w:r>
              <w:rPr>
                <w:rStyle w:val="row-content-rich-text"/>
              </w:rPr>
              <w:t xml:space="preserve">Among the jurisdictions, quality of referral type data varies. Quality of referral type has improved from 10% of status reported as unknown in the 2012–13 data to only 3%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In 2012–13, a new geographical standard, the Australian Statistical Geography Standard (ASGS) was implemented and applies to the data presented by remoteness area and socioeconomic status. For further information, see the online technical information.</w:t>
            </w:r>
          </w:p>
          <w:p>
            <w:pPr>
              <w:spacing w:after="160"/>
            </w:pPr>
            <w:r>
              <w:rPr>
                <w:rStyle w:val="row-content-rich-text"/>
              </w:rPr>
              <w:t xml:space="preserve">Prior to the 2012–13 collection period, residents who made use of services from multiple providers were counted separately each time, leading to a likely overestimation of residents. For those jurisdictions that can uniquely identify patients across the jurisdiction, patients who made use of services from multiple providers are now only counted once. For the 2013–14 collection period, five jurisdictions could uniquely identify patients across the jurisdiction leading to a more accurate representation. Therefore comparisons between jurisdictions should be made with caution.</w:t>
            </w:r>
          </w:p>
          <w:p>
            <w:pPr>
              <w:spacing w:after="160"/>
            </w:pPr>
            <w:r>
              <w:rPr>
                <w:rStyle w:val="row-content-rich-text"/>
              </w:rPr>
              <w:t xml:space="preserve">States and territories reported 100% data coverage for in scope services in 2013–14, with the exception of Tasmania who reported a 99% coverage.</w:t>
            </w:r>
          </w:p>
          <w:p>
            <w:pPr>
              <w:spacing w:after="160"/>
            </w:pPr>
            <w:r>
              <w:rPr>
                <w:rStyle w:val="row-content-rich-text"/>
                <w:b/>
                <w:i/>
              </w:rPr>
              <w:t xml:space="preserve">Principal diagnosis</w:t>
            </w:r>
            <w:r>
              <w:rPr>
                <w:rStyle w:val="row-content-rich-text"/>
              </w:rPr>
              <w:t xml:space="preserve">           </w:t>
            </w:r>
          </w:p>
          <w:p>
            <w:pPr>
              <w:spacing w:after="160"/>
            </w:pPr>
            <w:r>
              <w:rPr>
                <w:rStyle w:val="row-content-rich-text"/>
              </w:rPr>
              <w:t xml:space="preserve">The quality of principal diagnosis data in the NRMHCD may be affected by the variability in collection and coding practices across jurisdictions. In particular, there are differences among states and territories in the classification used as follows:</w:t>
            </w:r>
          </w:p>
          <w:p>
            <w:pPr>
              <w:pStyle w:val="ListParagraph"/>
              <w:numPr>
                <w:ilvl w:val="0"/>
                <w:numId w:val="3"/>
              </w:numPr>
            </w:pPr>
            <w:r>
              <w:rPr>
                <w:rStyle w:val="row-content-rich-text"/>
              </w:rPr>
              <w:t xml:space="preserve">Victoria, Tasmania, South Australia, the Australian Capital Territory and the Northern Territory provided principal diagnosis data based on the ICD-10-AM 8th Edition, consistent with the specifications. </w:t>
            </w:r>
          </w:p>
          <w:p>
            <w:pPr>
              <w:pStyle w:val="ListParagraph"/>
              <w:numPr>
                <w:ilvl w:val="0"/>
                <w:numId w:val="3"/>
              </w:numPr>
            </w:pPr>
            <w:r>
              <w:rPr>
                <w:rStyle w:val="row-content-rich-text"/>
              </w:rPr>
              <w:t xml:space="preserve">New South Wales also provided principal diagnosis data based on the ICD-10-AM 8th Edition, however from a reduced list.</w:t>
            </w:r>
          </w:p>
          <w:p>
            <w:pPr>
              <w:pStyle w:val="ListParagraph"/>
              <w:numPr>
                <w:ilvl w:val="0"/>
                <w:numId w:val="3"/>
              </w:numPr>
            </w:pPr>
            <w:r>
              <w:rPr>
                <w:rStyle w:val="row-content-rich-text"/>
              </w:rPr>
              <w:t xml:space="preserve">Western Australia provided principle diagnosis data based primarily on the ICD-10-AM 8th Edition, however, in some instances mapping was undertaken between diagnosis codes from ICD9 to ICD 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be7fd9f73da4ee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1bc90ff22f4066">
              <w:r>
                <w:rPr>
                  <w:rStyle w:val="Hyperlink"/>
                </w:rPr>
                <w:t xml:space="preserve">Residential mental health care NMDS 2012–13: National Residential Mental Health Care Database, 2014; Quality Statement</w:t>
              </w:r>
            </w:hyperlink>
          </w:p>
          <w:p>
            <w:pPr>
              <w:spacing w:before="0" w:after="0"/>
            </w:pPr>
            <w:r>
              <w:rPr>
                <w:rStyle w:val="row-content"/>
                <w:color w:val="244061"/>
              </w:rPr>
              <w:t xml:space="preserve">       </w:t>
            </w:r>
            <w:hyperlink w:history="true" r:id="Re218e13556304450">
              <w:r>
                <w:rPr>
                  <w:rStyle w:val="Hyperlink"/>
                  <w:color w:val="244061"/>
                </w:rPr>
                <w:t xml:space="preserve">AIHW Data Quality Statements</w:t>
              </w:r>
            </w:hyperlink>
            <w:r>
              <w:rPr>
                <w:rStyle w:val="row-content"/>
                <w:color w:val="244061"/>
              </w:rPr>
              <w:t xml:space="preserve">, Standard 30/10/2014</w:t>
            </w:r>
          </w:p>
          <w:p>
            <w:r>
              <w:br/>
            </w:r>
            <w:r>
              <w:rPr>
                <w:rStyle w:val="row-content"/>
              </w:rPr>
              <w:t xml:space="preserve">Has been superseded by </w:t>
            </w:r>
            <w:hyperlink w:history="true" r:id="Ra1a36fbcef284f43">
              <w:r>
                <w:rPr>
                  <w:rStyle w:val="Hyperlink"/>
                </w:rPr>
                <w:t xml:space="preserve">Residential mental health care NMDS 2014–15: National Residential Mental Health Care Database, 2015; Quality Statement</w:t>
              </w:r>
            </w:hyperlink>
          </w:p>
          <w:p>
            <w:pPr>
              <w:spacing w:before="0" w:after="0"/>
            </w:pPr>
            <w:r>
              <w:rPr>
                <w:rStyle w:val="row-content"/>
                <w:color w:val="244061"/>
              </w:rPr>
              <w:t xml:space="preserve">       </w:t>
            </w:r>
            <w:hyperlink w:history="true" r:id="R2107983651884420">
              <w:r>
                <w:rPr>
                  <w:rStyle w:val="Hyperlink"/>
                  <w:color w:val="244061"/>
                </w:rPr>
                <w:t xml:space="preserve">AIHW Data Quality Statements</w:t>
              </w:r>
            </w:hyperlink>
            <w:r>
              <w:rPr>
                <w:rStyle w:val="row-content"/>
                <w:color w:val="244061"/>
              </w:rPr>
              <w:t xml:space="preserve">, Superseded 13/10/2017</w:t>
            </w:r>
          </w:p>
          <w:p>
            <w:r>
              <w:br/>
            </w:r>
          </w:p>
        </w:tc>
      </w:tr>
    </w:tbl>
    <w:p>
      <w:r>
        <w:br/>
      </w:r>
    </w:p>
    <w:sectPr>
      <w:footerReference xmlns:r="http://schemas.openxmlformats.org/officeDocument/2006/relationships" w:type="default" r:id="Ra4b4e1fbd01649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617728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ddcfb26ad94f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b4e1fbd0164967" /><Relationship Type="http://schemas.openxmlformats.org/officeDocument/2006/relationships/header" Target="/word/header1.xml" Id="R7333cf3e8b034809" /><Relationship Type="http://schemas.openxmlformats.org/officeDocument/2006/relationships/settings" Target="/word/settings.xml" Id="R3319431892064936" /><Relationship Type="http://schemas.openxmlformats.org/officeDocument/2006/relationships/styles" Target="/word/styles.xml" Id="Rade279ac55a24330" /><Relationship Type="http://schemas.openxmlformats.org/officeDocument/2006/relationships/hyperlink" Target="https://meteor.aihw.gov.au/RegistrationAuthority/5" TargetMode="External" Id="Rec20be78d0e94527" /><Relationship Type="http://schemas.openxmlformats.org/officeDocument/2006/relationships/numbering" Target="/word/numbering.xml" Id="R7a70cccbf56141d1" /><Relationship Type="http://schemas.openxmlformats.org/officeDocument/2006/relationships/hyperlink" Target="http://intranet/index.cfm/13,591,86,html" TargetMode="External" Id="R4b4f4112ecfa46ad" /><Relationship Type="http://schemas.openxmlformats.org/officeDocument/2006/relationships/hyperlink" Target="http://intranet/index.cfm/13,591,86,html" TargetMode="External" Id="Rf631a95bf74c45d8" /><Relationship Type="http://schemas.openxmlformats.org/officeDocument/2006/relationships/hyperlink" Target="https://www.comlaw.gov.au/Details/C2011C00503" TargetMode="External" Id="R422c5c5a98c24adf" /><Relationship Type="http://schemas.openxmlformats.org/officeDocument/2006/relationships/hyperlink" Target="https://meteor.aihw.gov.au/content/182135" TargetMode="External" Id="R13a243d22ddc4a20" /><Relationship Type="http://schemas.openxmlformats.org/officeDocument/2006/relationships/hyperlink" Target="https://meteor.aihw.gov.au/content/493652" TargetMode="External" Id="R64f3e0ba5f544e38" /><Relationship Type="http://schemas.openxmlformats.org/officeDocument/2006/relationships/hyperlink" Target="http://mhsa.aihw.gov.au/home/" TargetMode="External" Id="Rbca6c1c03bf34005" /><Relationship Type="http://schemas.openxmlformats.org/officeDocument/2006/relationships/hyperlink" Target="https://meteor.aihw.gov.au/content/181162" TargetMode="External" Id="Rb81338e431bf4a27" /><Relationship Type="http://schemas.openxmlformats.org/officeDocument/2006/relationships/hyperlink" Target="https://www.comlaw.gov.au/Details/C2012C00573" TargetMode="External" Id="R4ae2e0e2a3d249f3" /><Relationship Type="http://schemas.openxmlformats.org/officeDocument/2006/relationships/hyperlink" Target="https://meteor.aihw.gov.au/content/246013" TargetMode="External" Id="R5be7fd9f73da4eeb" /><Relationship Type="http://schemas.openxmlformats.org/officeDocument/2006/relationships/hyperlink" Target="https://meteor.aihw.gov.au/content/584777" TargetMode="External" Id="Rb51bc90ff22f4066" /><Relationship Type="http://schemas.openxmlformats.org/officeDocument/2006/relationships/hyperlink" Target="https://meteor.aihw.gov.au/RegistrationAuthority/5" TargetMode="External" Id="Re218e13556304450" /><Relationship Type="http://schemas.openxmlformats.org/officeDocument/2006/relationships/hyperlink" Target="https://meteor.aihw.gov.au/content/646598" TargetMode="External" Id="Ra1a36fbcef284f43" /><Relationship Type="http://schemas.openxmlformats.org/officeDocument/2006/relationships/hyperlink" Target="https://meteor.aihw.gov.au/RegistrationAuthority/5" TargetMode="External" Id="R2107983651884420" /></Relationships>
</file>

<file path=word/_rels/header1.xml.rels>&#65279;<?xml version="1.0" encoding="utf-8"?><Relationships xmlns="http://schemas.openxmlformats.org/package/2006/relationships"><Relationship Type="http://schemas.openxmlformats.org/officeDocument/2006/relationships/image" Target="/media/image.png" Id="R51ddcfb26ad94fac" /></Relationships>
</file>