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0c8dd4a084354"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bf4a3db79b54dbc">
                    <w:r>
                      <w:rPr>
                        <w:rStyle w:val="Hyperlink"/>
                      </w:rPr>
                      <w:t xml:space="preserve">Agency sector cluster</w:t>
                    </w:r>
                  </w:hyperlink>
                </w:p>
              </w:tc>
              <w:tc>
                <w:tcPr>
                  <w:vAlign w:val="top"/>
                </w:tcPr>
                <w:p>
                  <w:r>
                    <w:t xml:space="preserve">497979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0b5739f531041d4">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83a6ff191f4c56">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a3588ea6e3417a">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7085f85a29214104">
                    <w:r>
                      <w:rPr>
                        <w:rStyle w:val="Hyperlink"/>
                      </w:rPr>
                      <w:t xml:space="preserve">Disability services standards cluster</w:t>
                    </w:r>
                  </w:hyperlink>
                </w:p>
              </w:tc>
              <w:tc>
                <w:tcPr>
                  <w:vAlign w:val="top"/>
                </w:tcPr>
                <w:p>
                  <w:r>
                    <w:t xml:space="preserve">498020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aeb80dcac2f415b">
                    <w:r>
                      <w:rPr>
                        <w:rStyle w:val="Hyperlink"/>
                      </w:rPr>
                      <w:t xml:space="preserve">Disability services standards type </w:t>
                    </w:r>
                  </w:hyperlink>
                </w:p>
              </w:tc>
              <w:tc>
                <w:tcPr>
                  <w:vAlign w:val="top"/>
                </w:tcPr>
                <w:p>
                  <w:r>
                    <w:t xml:space="preserve">496702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Disability Services (1993)</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National Standards for Disability Services (2013)</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Disability Services Standards (FaCSIA) 2007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Disability Services Standards (DEWR) 2007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Disability Services Standards (Advocacy Standards) 2012</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Australian Service Excellence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 South Wales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Standards for Disability Services in Victoria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Department of Human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Queensland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Excellence Framework (South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Disability Services Standards (Western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Quality and Safety Standards Framework for Tasmania's Agency Funded Community Sector 2009–2012</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Northern Territory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standards or quality management system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applicable—no standards assessment has been undertaken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a5a163902b48e7">
                    <w:r>
                      <w:rPr>
                        <w:rStyle w:val="Hyperlink"/>
                      </w:rPr>
                      <w:t xml:space="preserve">Standards assessment date</w:t>
                    </w:r>
                  </w:hyperlink>
                </w:p>
              </w:tc>
              <w:tc>
                <w:tcPr>
                  <w:vAlign w:val="top"/>
                </w:tcPr>
                <w:p>
                  <w:r>
                    <w:t xml:space="preserve">496732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fd46475b5a548bf">
                    <w:r>
                      <w:rPr>
                        <w:rStyle w:val="Hyperlink"/>
                      </w:rPr>
                      <w:t xml:space="preserve">Standards assessment indicator</w:t>
                    </w:r>
                  </w:hyperlink>
                </w:p>
              </w:tc>
              <w:tc>
                <w:tcPr>
                  <w:vAlign w:val="top"/>
                </w:tcPr>
                <w:p>
                  <w:r>
                    <w:t xml:space="preserve">356457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6c7a0205dc482b">
                    <w:r>
                      <w:rPr>
                        <w:rStyle w:val="Hyperlink"/>
                      </w:rPr>
                      <w:t xml:space="preserve">Standards assessment level</w:t>
                    </w:r>
                  </w:hyperlink>
                </w:p>
              </w:tc>
              <w:tc>
                <w:tcPr>
                  <w:vAlign w:val="top"/>
                </w:tcPr>
                <w:p>
                  <w:r>
                    <w:t xml:space="preserve">359019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Formally assessed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d1363cdd2b4ab1">
                    <w:r>
                      <w:rPr>
                        <w:rStyle w:val="Hyperlink"/>
                      </w:rPr>
                      <w:t xml:space="preserve">Standards assessment method </w:t>
                    </w:r>
                  </w:hyperlink>
                </w:p>
              </w:tc>
              <w:tc>
                <w:tcPr>
                  <w:vAlign w:val="top"/>
                </w:tcPr>
                <w:p>
                  <w:r>
                    <w:t xml:space="preserve">287762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self-assessment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In-depth external review</w:t>
                        </w:r>
                      </w:p>
                    </w:tc>
                  </w:tr>
                </w:tbl>
                <w:p/>
              </w:tc>
            </w:tr>
            <w:tr>
              <w:trPr/>
              <w:tc>
                <w:tcPr>
                  <w:tcMar>
                    <w:right w:w="29" w:type="dxa"/>
                  </w:tcMar>
                  <w:vAlign w:val="top"/>
                </w:tcPr>
                <w:p>
                  <w:pPr>
                    <w:keepNext/>
                    <w:jc w:val="center"/>
                  </w:pPr>
                  <w:r>
                    <w:t xml:space="preserve">-</w:t>
                  </w:r>
                </w:p>
              </w:tc>
              <w:tc>
                <w:tcPr>
                  <w:tcMar/>
                  <w:vAlign w:val="top"/>
                </w:tcPr>
                <w:p>
                  <w:hyperlink w:history="true" r:id="Refb145cbcabd4a2d">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e722906388d499b">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4f66f123c34f77">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feb901d49c1d4d2d">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23a417b31c543ba">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3ec317185954f4f">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e78c1ff18d64a8e">
                    <w:r>
                      <w:rPr>
                        <w:rStyle w:val="Hyperlink"/>
                      </w:rPr>
                      <w:t xml:space="preserve">Average full-time equivalent paid staff</w:t>
                    </w:r>
                  </w:hyperlink>
                </w:p>
              </w:tc>
              <w:tc>
                <w:tcPr>
                  <w:vAlign w:val="top"/>
                </w:tcPr>
                <w:p>
                  <w:r>
                    <w:t xml:space="preserve">498103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4abee5916aa4eed">
                    <w:r>
                      <w:rPr>
                        <w:rStyle w:val="Hyperlink"/>
                      </w:rPr>
                      <w:t xml:space="preserve">Average full-time equivalent volunteer/unpaid staff</w:t>
                    </w:r>
                  </w:hyperlink>
                </w:p>
              </w:tc>
              <w:tc>
                <w:tcPr>
                  <w:vAlign w:val="top"/>
                </w:tcPr>
                <w:p>
                  <w:r>
                    <w:t xml:space="preserve">498101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4997b393b9746c9">
                    <w:r>
                      <w:rPr>
                        <w:rStyle w:val="Hyperlink"/>
                      </w:rPr>
                      <w:t xml:space="preserve">Full financial year funding indicator</w:t>
                    </w:r>
                  </w:hyperlink>
                </w:p>
              </w:tc>
              <w:tc>
                <w:tcPr>
                  <w:vAlign w:val="top"/>
                </w:tcPr>
                <w:p>
                  <w:r>
                    <w:t xml:space="preserve">497584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8b731bf2cd3427e">
                    <w:r>
                      <w:rPr>
                        <w:rStyle w:val="Hyperlink"/>
                      </w:rPr>
                      <w:t xml:space="preserve">Hours worked paid staff</w:t>
                    </w:r>
                  </w:hyperlink>
                </w:p>
              </w:tc>
              <w:tc>
                <w:tcPr>
                  <w:vAlign w:val="top"/>
                </w:tcPr>
                <w:p>
                  <w:r>
                    <w:t xml:space="preserve">497569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f49795987ba4a3c">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8334d5198b5d459a">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59c4cee9f2345ed">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e41cbf060cd4bb8">
                    <w:r>
                      <w:rPr>
                        <w:rStyle w:val="Hyperlink"/>
                      </w:rPr>
                      <w:t xml:space="preserve">Service operation days</w:t>
                    </w:r>
                  </w:hyperlink>
                </w:p>
              </w:tc>
              <w:tc>
                <w:tcPr>
                  <w:vAlign w:val="top"/>
                </w:tcPr>
                <w:p>
                  <w:r>
                    <w:t xml:space="preserve">497592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51cfd013b04072">
                    <w:r>
                      <w:rPr>
                        <w:rStyle w:val="Hyperlink"/>
                      </w:rPr>
                      <w:t xml:space="preserve">Service operation hours</w:t>
                    </w:r>
                  </w:hyperlink>
                </w:p>
              </w:tc>
              <w:tc>
                <w:tcPr>
                  <w:vAlign w:val="top"/>
                </w:tcPr>
                <w:p>
                  <w:r>
                    <w:t xml:space="preserve">497596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db7b2d63eb4fea">
                    <w:r>
                      <w:rPr>
                        <w:rStyle w:val="Hyperlink"/>
                      </w:rPr>
                      <w:t xml:space="preserve">Service operation weeks</w:t>
                    </w:r>
                  </w:hyperlink>
                </w:p>
              </w:tc>
              <w:tc>
                <w:tcPr>
                  <w:vAlign w:val="top"/>
                </w:tcPr>
                <w:p>
                  <w:r>
                    <w:t xml:space="preserve">497588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16fc0d25104beb">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679f94e240c467c">
                    <w:r>
                      <w:rPr>
                        <w:rStyle w:val="Hyperlink"/>
                      </w:rPr>
                      <w:t xml:space="preserve">Service type (NDA)</w:t>
                    </w:r>
                  </w:hyperlink>
                </w:p>
              </w:tc>
              <w:tc>
                <w:tcPr>
                  <w:vAlign w:val="top"/>
                </w:tcPr>
                <w:p>
                  <w:r>
                    <w:t xml:space="preserve">613272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w:t>
                  </w:r>
                </w:p>
              </w:tc>
              <w:tc>
                <w:tcPr>
                  <w:tcMar/>
                  <w:vAlign w:val="top"/>
                </w:tcPr>
                <w:p>
                  <w:hyperlink w:history="true" r:id="Rc829692effa24853">
                    <w:r>
                      <w:rPr>
                        <w:rStyle w:val="Hyperlink"/>
                      </w:rPr>
                      <w:t xml:space="preserve">Service provider remuneration status</w:t>
                    </w:r>
                  </w:hyperlink>
                </w:p>
              </w:tc>
              <w:tc>
                <w:tcPr>
                  <w:vAlign w:val="top"/>
                </w:tcPr>
                <w:p>
                  <w:r>
                    <w:t xml:space="preserve">500412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45f5f5ead664ad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617065</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e1500823a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f5f5ead664ada" /><Relationship Type="http://schemas.openxmlformats.org/officeDocument/2006/relationships/header" Target="/word/header1.xml" Id="R5cc962fb259946bb" /><Relationship Type="http://schemas.openxmlformats.org/officeDocument/2006/relationships/settings" Target="/word/settings.xml" Id="R90e497200cc14ab8" /><Relationship Type="http://schemas.openxmlformats.org/officeDocument/2006/relationships/styles" Target="/word/styles.xml" Id="Rc716aeb494a84dc6" /><Relationship Type="http://schemas.openxmlformats.org/officeDocument/2006/relationships/hyperlink" Target="https://meteor.aihw.gov.au/content/497979" TargetMode="External" Id="Rdbf4a3db79b54dbc" /><Relationship Type="http://schemas.openxmlformats.org/officeDocument/2006/relationships/hyperlink" Target="https://meteor.aihw.gov.au/content/321004" TargetMode="External" Id="Ra0b5739f531041d4" /><Relationship Type="http://schemas.openxmlformats.org/officeDocument/2006/relationships/hyperlink" Target="https://meteor.aihw.gov.au/content/322239" TargetMode="External" Id="R5e83a6ff191f4c56" /><Relationship Type="http://schemas.openxmlformats.org/officeDocument/2006/relationships/hyperlink" Target="https://meteor.aihw.gov.au/content/350937" TargetMode="External" Id="R5ea3588ea6e3417a" /><Relationship Type="http://schemas.openxmlformats.org/officeDocument/2006/relationships/hyperlink" Target="https://meteor.aihw.gov.au/content/498020" TargetMode="External" Id="R7085f85a29214104" /><Relationship Type="http://schemas.openxmlformats.org/officeDocument/2006/relationships/hyperlink" Target="https://meteor.aihw.gov.au/content/496702" TargetMode="External" Id="R7aeb80dcac2f415b" /><Relationship Type="http://schemas.openxmlformats.org/officeDocument/2006/relationships/hyperlink" Target="https://meteor.aihw.gov.au/content/496732" TargetMode="External" Id="R8ca5a163902b48e7" /><Relationship Type="http://schemas.openxmlformats.org/officeDocument/2006/relationships/hyperlink" Target="https://meteor.aihw.gov.au/content/356457" TargetMode="External" Id="Rbfd46475b5a548bf" /><Relationship Type="http://schemas.openxmlformats.org/officeDocument/2006/relationships/hyperlink" Target="https://meteor.aihw.gov.au/content/359019" TargetMode="External" Id="R596c7a0205dc482b" /><Relationship Type="http://schemas.openxmlformats.org/officeDocument/2006/relationships/hyperlink" Target="https://meteor.aihw.gov.au/content/287762" TargetMode="External" Id="R5dd1363cdd2b4ab1" /><Relationship Type="http://schemas.openxmlformats.org/officeDocument/2006/relationships/hyperlink" Target="https://meteor.aihw.gov.au/content/497735" TargetMode="External" Id="Refb145cbcabd4a2d" /><Relationship Type="http://schemas.openxmlformats.org/officeDocument/2006/relationships/hyperlink" Target="https://meteor.aihw.gov.au/content/430134" TargetMode="External" Id="Rde722906388d499b" /><Relationship Type="http://schemas.openxmlformats.org/officeDocument/2006/relationships/hyperlink" Target="https://meteor.aihw.gov.au/content/497726" TargetMode="External" Id="R2f4f66f123c34f77" /><Relationship Type="http://schemas.openxmlformats.org/officeDocument/2006/relationships/hyperlink" Target="https://meteor.aihw.gov.au/content/457289" TargetMode="External" Id="Rfeb901d49c1d4d2d" /><Relationship Type="http://schemas.openxmlformats.org/officeDocument/2006/relationships/hyperlink" Target="https://meteor.aihw.gov.au/content/321039" TargetMode="External" Id="R923a417b31c543ba" /><Relationship Type="http://schemas.openxmlformats.org/officeDocument/2006/relationships/hyperlink" Target="https://meteor.aihw.gov.au/content/495953" TargetMode="External" Id="R63ec317185954f4f" /><Relationship Type="http://schemas.openxmlformats.org/officeDocument/2006/relationships/hyperlink" Target="https://meteor.aihw.gov.au/content/498103" TargetMode="External" Id="R0e78c1ff18d64a8e" /><Relationship Type="http://schemas.openxmlformats.org/officeDocument/2006/relationships/hyperlink" Target="https://meteor.aihw.gov.au/content/498101" TargetMode="External" Id="Re4abee5916aa4eed" /><Relationship Type="http://schemas.openxmlformats.org/officeDocument/2006/relationships/hyperlink" Target="https://meteor.aihw.gov.au/content/497584" TargetMode="External" Id="R24997b393b9746c9" /><Relationship Type="http://schemas.openxmlformats.org/officeDocument/2006/relationships/hyperlink" Target="https://meteor.aihw.gov.au/content/497569" TargetMode="External" Id="R48b731bf2cd3427e" /><Relationship Type="http://schemas.openxmlformats.org/officeDocument/2006/relationships/hyperlink" Target="https://meteor.aihw.gov.au/content/497565" TargetMode="External" Id="Rff49795987ba4a3c" /><Relationship Type="http://schemas.openxmlformats.org/officeDocument/2006/relationships/hyperlink" Target="https://meteor.aihw.gov.au/content/497565" TargetMode="External" Id="R8334d5198b5d459a" /><Relationship Type="http://schemas.openxmlformats.org/officeDocument/2006/relationships/hyperlink" Target="https://meteor.aihw.gov.au/content/497579" TargetMode="External" Id="R359c4cee9f2345ed" /><Relationship Type="http://schemas.openxmlformats.org/officeDocument/2006/relationships/hyperlink" Target="https://meteor.aihw.gov.au/content/497592" TargetMode="External" Id="R7e41cbf060cd4bb8" /><Relationship Type="http://schemas.openxmlformats.org/officeDocument/2006/relationships/hyperlink" Target="https://meteor.aihw.gov.au/content/497596" TargetMode="External" Id="R0351cfd013b04072" /><Relationship Type="http://schemas.openxmlformats.org/officeDocument/2006/relationships/hyperlink" Target="https://meteor.aihw.gov.au/content/497588" TargetMode="External" Id="Rb0db7b2d63eb4fea" /><Relationship Type="http://schemas.openxmlformats.org/officeDocument/2006/relationships/hyperlink" Target="https://meteor.aihw.gov.au/content/495947" TargetMode="External" Id="R3c16fc0d25104beb" /><Relationship Type="http://schemas.openxmlformats.org/officeDocument/2006/relationships/hyperlink" Target="https://meteor.aihw.gov.au/content/613272" TargetMode="External" Id="R5679f94e240c467c" /><Relationship Type="http://schemas.openxmlformats.org/officeDocument/2006/relationships/hyperlink" Target="https://meteor.aihw.gov.au/content/500412" TargetMode="External" Id="Rc829692effa24853" /></Relationships>
</file>

<file path=word/_rels/header1.xml.rels>&#65279;<?xml version="1.0" encoding="utf-8"?><Relationships xmlns="http://schemas.openxmlformats.org/package/2006/relationships"><Relationship Type="http://schemas.openxmlformats.org/officeDocument/2006/relationships/image" Target="/media/image.png" Id="R5eae1500823a4909" /></Relationships>
</file>