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9d91a092e04e1a"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same-day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34a9f8e074e1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chairs or trolleys available to provide accommodation for same-day patients,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31207e8f02434f71">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4e0d41f1b74f49">
              <w:r>
                <w:rPr>
                  <w:rStyle w:val="Hyperlink"/>
                </w:rPr>
                <w:t xml:space="preserve">Available bed—same-day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9d6e282c1042e3">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is recorded. Same-day patients are accommodated in the following ways:</w:t>
            </w:r>
          </w:p>
          <w:p>
            <w:pPr>
              <w:pStyle w:val="ListParagraph"/>
              <w:numPr>
                <w:ilvl w:val="0"/>
                <w:numId w:val="2"/>
              </w:numPr>
            </w:pPr>
            <w:r>
              <w:rPr>
                <w:rStyle w:val="row-content-rich-text"/>
              </w:rPr>
              <w:t xml:space="preserve">Patients occupy a single bed or chair in a single location throughout their stay, for example, dialysis or chemotherapy chair. In this situation the bed or chair is counted as a bed available for same-day patients.</w:t>
            </w:r>
          </w:p>
          <w:p>
            <w:pPr>
              <w:pStyle w:val="ListParagraph"/>
              <w:numPr>
                <w:ilvl w:val="0"/>
                <w:numId w:val="2"/>
              </w:numPr>
            </w:pPr>
            <w:r>
              <w:rPr>
                <w:rStyle w:val="row-content-rich-text"/>
              </w:rPr>
              <w:t xml:space="preserve">Patients occupy a trolley which is moved to different locations throughout their stay – for example, endoscopy suite, where patients move from the same-day ward to a procedure room, onto a recovery room and back to the same-day ward. In this situation the trolley is counted as a bed available for same-day patients.</w:t>
            </w:r>
          </w:p>
          <w:p>
            <w:pPr>
              <w:pStyle w:val="ListParagraph"/>
              <w:numPr>
                <w:ilvl w:val="0"/>
                <w:numId w:val="2"/>
              </w:numPr>
            </w:pPr>
            <w:r>
              <w:rPr>
                <w:rStyle w:val="row-content-rich-text"/>
              </w:rPr>
              <w:t xml:space="preserve">Same-day patients are accommodated in a general ward after being transferred from another area of the hospital (for example, the emergency department or another ward, etc). In this situation the beds may be counted as either overnight-stay or same-day according to their predominant use.</w:t>
            </w:r>
          </w:p>
          <w:p>
            <w:pPr>
              <w:spacing w:after="160"/>
            </w:pPr>
            <w:r>
              <w:rPr>
                <w:rStyle w:val="row-content-rich-text"/>
              </w:rPr>
              <w:t xml:space="preserve">The number of available same-day beds should be collected at least monthly at the same time on the same day. To improve accuracy data could be collected more frequently (for example, daily data collection)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Beds, chairs or trolleys available, exclusively or predominantly intended to accommodate same-day admitted care or treatment. This includes day surgery beds, dialysis, chemotherapy, electro-convulsive therapy (ECT) and dental chairs for admitted patients.</w:t>
            </w:r>
          </w:p>
          <w:p>
            <w:pPr/>
            <w:r>
              <w:rPr>
                <w:rStyle w:val="row-content-rich-text"/>
              </w:rPr>
              <w:t xml:space="preserve">Exclusions: Exclude beds, chairs or trolleys designated exclusively for same-day non-admitted patient care or predominantly used by non-admitted patients (for example, emergency trolleys), medical ambulatory care, discharge lounges for patients who have been formally discharged, medi-hotel beds, hospital-in-the-home, neonatal cots (non-special-care), and beds for overnight-stay patients (even where overnight beds are used for unplanned same-day episodes, for example, patients who die or abscond on the day of admission).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the most appropriate accommodation category.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and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same-day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hospital located in a summer holiday area, which conducts monthly bed counts, has 12 beds suitably equipped for same-day admitted patient care. It manages its resources in such a way that 12 beds are fully staffed during the four months from December to March, but only 9 beds are staffed during the remaining eight months from April to November. The annual average number of available beds is the average of the twelve monthly averages: ((12 beds x 4 months) + (9 beds x 8 months) divided by 12 counting periods) = 120/12 = 10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120/12 = 10 beds. The annual average number of available beds for Ward B is: (0 beds X 6 months) + (10 beds X 6 months) divided by 12 counting periods = 60/12 = 5 beds.</w:t>
            </w:r>
          </w:p>
          <w:p>
            <w:pPr/>
            <w:r>
              <w:rPr>
                <w:rStyle w:val="row-content-rich-text"/>
              </w:rPr>
              <w:t xml:space="preserve">Example 4: A 20 bed ward is closed during the first week of June because of a strike, but for the remainder of June it is fully staffed so that all 20 beds are available. So the average number of beds available for this ward in June is: ((0 beds X 7 days) + (20 beds X 23 days) divided by 30 counting periods)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ffd77041ba4355">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45b78bc959cc4d41">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e4cb6517b84c4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3c0e87362f946a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41bf8e9d4354798">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236f05e38ca14af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afe6822845b423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c82215445fd848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c4e9503657d40f4">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f12fce0092d461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9a2d25916e14cf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6386d8bc6ed4df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40c65cdb84445d6">
              <w:r>
                <w:rPr>
                  <w:rStyle w:val="Hyperlink"/>
                </w:rPr>
                <w:t xml:space="preserve">Public hospital establishments data element cluster</w:t>
              </w:r>
            </w:hyperlink>
          </w:p>
          <w:p>
            <w:pPr>
              <w:spacing w:before="0" w:after="0"/>
            </w:pPr>
            <w:r>
              <w:rPr>
                <w:rStyle w:val="row-content"/>
                <w:color w:val="244061"/>
              </w:rPr>
              <w:t xml:space="preserve">       </w:t>
            </w:r>
            <w:hyperlink w:history="true" r:id="R2b4604e5107a4c7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6e3548e28fe46dc">
              <w:r>
                <w:rPr>
                  <w:rStyle w:val="Hyperlink"/>
                </w:rPr>
                <w:t xml:space="preserve">Public hospital establishments data element cluster</w:t>
              </w:r>
            </w:hyperlink>
          </w:p>
          <w:p>
            <w:pPr>
              <w:spacing w:before="0" w:after="0"/>
            </w:pPr>
            <w:r>
              <w:rPr>
                <w:rStyle w:val="row-content"/>
                <w:color w:val="244061"/>
              </w:rPr>
              <w:t xml:space="preserve">       </w:t>
            </w:r>
            <w:hyperlink w:history="true" r:id="Rbe2845facf744b0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d3f51f9cdc84b3e">
              <w:r>
                <w:rPr>
                  <w:rStyle w:val="Hyperlink"/>
                </w:rPr>
                <w:t xml:space="preserve">Public hospital establishments data element cluster</w:t>
              </w:r>
            </w:hyperlink>
          </w:p>
          <w:p>
            <w:pPr>
              <w:spacing w:before="0" w:after="0"/>
            </w:pPr>
            <w:r>
              <w:rPr>
                <w:rStyle w:val="row-content"/>
                <w:color w:val="244061"/>
              </w:rPr>
              <w:t xml:space="preserve">       </w:t>
            </w:r>
            <w:hyperlink w:history="true" r:id="R3c87e3ac696c47a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4bbfcf1e08394ad5">
              <w:r>
                <w:rPr>
                  <w:rStyle w:val="Hyperlink"/>
                </w:rPr>
                <w:t xml:space="preserve">Public hospital establishments NMDS 2016–17</w:t>
              </w:r>
            </w:hyperlink>
          </w:p>
          <w:p>
            <w:pPr>
              <w:spacing w:before="0" w:after="0"/>
            </w:pPr>
            <w:r>
              <w:rPr>
                <w:rStyle w:val="row-content"/>
                <w:color w:val="244061"/>
              </w:rPr>
              <w:t xml:space="preserve">       </w:t>
            </w:r>
            <w:hyperlink w:history="true" r:id="R283e44c693a440f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efd3a9b81a3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c9809908b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d3a9b81a3409d" /><Relationship Type="http://schemas.openxmlformats.org/officeDocument/2006/relationships/header" Target="/word/header1.xml" Id="R000925923fe441a5" /><Relationship Type="http://schemas.openxmlformats.org/officeDocument/2006/relationships/settings" Target="/word/settings.xml" Id="R7269084dfbe74ffa" /><Relationship Type="http://schemas.openxmlformats.org/officeDocument/2006/relationships/styles" Target="/word/styles.xml" Id="R8901658771af4c44" /><Relationship Type="http://schemas.openxmlformats.org/officeDocument/2006/relationships/hyperlink" Target="https://meteor.aihw.gov.au/RegistrationAuthority/12" TargetMode="External" Id="Ra6234a9f8e074e1d" /><Relationship Type="http://schemas.openxmlformats.org/officeDocument/2006/relationships/hyperlink" Target="https://meteor.aihw.gov.au/content/373642" TargetMode="External" Id="R31207e8f02434f71" /><Relationship Type="http://schemas.openxmlformats.org/officeDocument/2006/relationships/hyperlink" Target="https://meteor.aihw.gov.au/content/373963" TargetMode="External" Id="Ra34e0d41f1b74f49" /><Relationship Type="http://schemas.openxmlformats.org/officeDocument/2006/relationships/hyperlink" Target="https://meteor.aihw.gov.au/content/615996" TargetMode="External" Id="R129d6e282c1042e3" /><Relationship Type="http://schemas.openxmlformats.org/officeDocument/2006/relationships/numbering" Target="/word/numbering.xml" Id="R0c525f8fd43e4fe6" /><Relationship Type="http://schemas.openxmlformats.org/officeDocument/2006/relationships/hyperlink" Target="https://meteor.aihw.gov.au/content/373966" TargetMode="External" Id="Rd6ffd77041ba4355" /><Relationship Type="http://schemas.openxmlformats.org/officeDocument/2006/relationships/hyperlink" Target="https://meteor.aihw.gov.au/RegistrationAuthority/12" TargetMode="External" Id="R45b78bc959cc4d41" /><Relationship Type="http://schemas.openxmlformats.org/officeDocument/2006/relationships/hyperlink" Target="https://meteor.aihw.gov.au/content/713848" TargetMode="External" Id="R52e4cb6517b84c43" /><Relationship Type="http://schemas.openxmlformats.org/officeDocument/2006/relationships/hyperlink" Target="https://meteor.aihw.gov.au/RegistrationAuthority/12" TargetMode="External" Id="R73c0e87362f946a1" /><Relationship Type="http://schemas.openxmlformats.org/officeDocument/2006/relationships/hyperlink" Target="https://meteor.aihw.gov.au/content/727356" TargetMode="External" Id="R441bf8e9d4354798" /><Relationship Type="http://schemas.openxmlformats.org/officeDocument/2006/relationships/hyperlink" Target="https://meteor.aihw.gov.au/RegistrationAuthority/12" TargetMode="External" Id="R236f05e38ca14af0" /><Relationship Type="http://schemas.openxmlformats.org/officeDocument/2006/relationships/hyperlink" Target="https://meteor.aihw.gov.au/content/742044" TargetMode="External" Id="R3afe6822845b4237" /><Relationship Type="http://schemas.openxmlformats.org/officeDocument/2006/relationships/hyperlink" Target="https://meteor.aihw.gov.au/RegistrationAuthority/12" TargetMode="External" Id="Rc82215445fd848a0" /><Relationship Type="http://schemas.openxmlformats.org/officeDocument/2006/relationships/hyperlink" Target="https://meteor.aihw.gov.au/content/756101" TargetMode="External" Id="R9c4e9503657d40f4" /><Relationship Type="http://schemas.openxmlformats.org/officeDocument/2006/relationships/hyperlink" Target="https://meteor.aihw.gov.au/RegistrationAuthority/12" TargetMode="External" Id="R0f12fce0092d4610" /><Relationship Type="http://schemas.openxmlformats.org/officeDocument/2006/relationships/hyperlink" Target="https://meteor.aihw.gov.au/content/775625" TargetMode="External" Id="Rd9a2d25916e14cff" /><Relationship Type="http://schemas.openxmlformats.org/officeDocument/2006/relationships/hyperlink" Target="https://meteor.aihw.gov.au/RegistrationAuthority/12" TargetMode="External" Id="R76386d8bc6ed4dfe" /><Relationship Type="http://schemas.openxmlformats.org/officeDocument/2006/relationships/hyperlink" Target="https://meteor.aihw.gov.au/content/643172" TargetMode="External" Id="R940c65cdb84445d6" /><Relationship Type="http://schemas.openxmlformats.org/officeDocument/2006/relationships/hyperlink" Target="https://meteor.aihw.gov.au/RegistrationAuthority/12" TargetMode="External" Id="R2b4604e5107a4c75" /><Relationship Type="http://schemas.openxmlformats.org/officeDocument/2006/relationships/hyperlink" Target="https://meteor.aihw.gov.au/content/679217" TargetMode="External" Id="R86e3548e28fe46dc" /><Relationship Type="http://schemas.openxmlformats.org/officeDocument/2006/relationships/hyperlink" Target="https://meteor.aihw.gov.au/RegistrationAuthority/12" TargetMode="External" Id="Rbe2845facf744b00" /><Relationship Type="http://schemas.openxmlformats.org/officeDocument/2006/relationships/hyperlink" Target="https://meteor.aihw.gov.au/content/706483" TargetMode="External" Id="R8d3f51f9cdc84b3e" /><Relationship Type="http://schemas.openxmlformats.org/officeDocument/2006/relationships/hyperlink" Target="https://meteor.aihw.gov.au/RegistrationAuthority/12" TargetMode="External" Id="R3c87e3ac696c47a1" /><Relationship Type="http://schemas.openxmlformats.org/officeDocument/2006/relationships/hyperlink" Target="https://meteor.aihw.gov.au/content/615835" TargetMode="External" Id="R4bbfcf1e08394ad5" /><Relationship Type="http://schemas.openxmlformats.org/officeDocument/2006/relationships/hyperlink" Target="https://meteor.aihw.gov.au/RegistrationAuthority/12" TargetMode="External" Id="R283e44c693a440f7" /></Relationships>
</file>

<file path=word/_rels/header1.xml.rels>&#65279;<?xml version="1.0" encoding="utf-8"?><Relationships xmlns="http://schemas.openxmlformats.org/package/2006/relationships"><Relationship Type="http://schemas.openxmlformats.org/officeDocument/2006/relationships/image" Target="/media/image.png" Id="Rdbcc9809908b4e6d" /></Relationships>
</file>