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4c5521400b4a5c"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0f5544c62418b">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Status at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69b7b058ad747ef">
              <w:r>
                <w:rPr>
                  <w:rStyle w:val="Hyperlink"/>
                  <w:b/>
                </w:rPr>
                <w:t xml:space="preserve">separation</w:t>
              </w:r>
            </w:hyperlink>
            <w:r>
              <w:rPr>
                <w:rStyle w:val="row-content-rich-text"/>
              </w:rPr>
              <w:t xml:space="preserve"> of person (discharge/transfer/death) and place to which person is released,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09632d0add4857">
              <w:r>
                <w:rPr>
                  <w:rStyle w:val="Hyperlink"/>
                </w:rPr>
                <w:t xml:space="preserve">Episode of mental health care—episode end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4e8d51a12e4516">
              <w:r>
                <w:rPr>
                  <w:rStyle w:val="Hyperlink"/>
                </w:rPr>
                <w:t xml:space="preserve">Episode end mode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an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an admitted psychiatric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Discharge/transfer to other health care accommodation (includes mothercraft hospitals; and other residential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Statistical 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(includes discharge to usual residence, own accommodation/welfare institution (includes prisons, hostels and group homes providing primarily welfare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Discharge/transfer to other health care accommodation (includes mothercraft hospitals)</w:t>
            </w:r>
          </w:p>
          <w:p>
            <w:pPr>
              <w:spacing w:after="160"/>
            </w:pPr>
            <w:r>
              <w:rPr>
                <w:rStyle w:val="row-content-rich-text"/>
              </w:rPr>
              <w:t xml:space="preserve">In jurisdictions where mothercraft facilities are considered to be acute hospitals, patients separated to a mothercraft facility should have a mode of separation of Code 1. If the residential aged care service is the patient's place of usual residence then they should have a mode of separation of Code 9.</w:t>
            </w:r>
          </w:p>
          <w:p>
            <w:pPr>
              <w:spacing w:after="160"/>
            </w:pPr>
            <w:r>
              <w:rPr>
                <w:rStyle w:val="row-content-rich-text"/>
              </w:rPr>
              <w:t xml:space="preserve">CODE 10   Discharge due to inactivity</w:t>
            </w:r>
          </w:p>
          <w:p>
            <w:pPr>
              <w:spacing w:after="160"/>
            </w:pPr>
            <w:r>
              <w:rPr>
                <w:rStyle w:val="row-content-rich-text"/>
              </w:rPr>
              <w:t xml:space="preserve">This code is only used in ambulatory mental health settings.</w:t>
            </w:r>
          </w:p>
          <w:p>
            <w:pPr>
              <w:spacing w:after="160"/>
            </w:pPr>
            <w:r>
              <w:rPr>
                <w:rStyle w:val="row-content-rich-text"/>
              </w:rPr>
              <w:t xml:space="preserve">CODE 11   Statistical discharge due to admitted care type change</w:t>
            </w:r>
          </w:p>
          <w:p>
            <w:pPr/>
            <w:r>
              <w:rPr>
                <w:rStyle w:val="row-content-rich-text"/>
              </w:rPr>
              <w:t xml:space="preserve">This code is only to be used in admitted care settings when a care type has changed causing a statistical discharge but the patient has not physically left the hospital.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activity based funding reporting, CODE 10 Discharge after period of inactivity, is used after the episode of care has had a period of 120 days in which no service contact or event occurs. When CODE 10 is used, the date of the last service event or contact in the episode is used as the date of discharge from the episode.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Admitted patient care: This data element can be derived from </w:t>
            </w:r>
            <w:hyperlink w:history="true" r:id="Rcaae4261e4ca4b10">
              <w:r>
                <w:rPr>
                  <w:rStyle w:val="Hyperlink"/>
                </w:rPr>
                <w:t xml:space="preserve">Episode of admitted patient care—separation mode, code N </w:t>
              </w:r>
            </w:hyperlink>
          </w:p>
          <w:p>
            <w:pPr/>
            <w:r>
              <w:rPr>
                <w:rStyle w:val="row-content-rich-text"/>
              </w:rPr>
              <w:t xml:space="preserve">Residential patient care: This data element can be derived from </w:t>
            </w:r>
            <w:hyperlink w:history="true" r:id="R7c42af9e40cd4e17">
              <w:r>
                <w:rPr>
                  <w:rStyle w:val="Hyperlink"/>
                </w:rPr>
                <w:t xml:space="preserve">Episode of residential care—episode end mode,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2f89a84ba9e4525">
              <w:r>
                <w:rPr>
                  <w:rStyle w:val="Hyperlink"/>
                </w:rPr>
                <w:t xml:space="preserve">Episode of admitted patient care—separation mode, code N</w:t>
              </w:r>
            </w:hyperlink>
          </w:p>
          <w:p>
            <w:pPr>
              <w:spacing w:before="0" w:after="0"/>
            </w:pPr>
            <w:r>
              <w:rPr>
                <w:rStyle w:val="row-content"/>
                <w:color w:val="244061"/>
              </w:rPr>
              <w:t xml:space="preserve">       </w:t>
            </w:r>
            <w:hyperlink w:history="true" r:id="R929a1a4c966a48f9">
              <w:r>
                <w:rPr>
                  <w:rStyle w:val="Hyperlink"/>
                  <w:color w:val="244061"/>
                </w:rPr>
                <w:t xml:space="preserve">Health</w:t>
              </w:r>
            </w:hyperlink>
            <w:r>
              <w:rPr>
                <w:rStyle w:val="row-content"/>
                <w:color w:val="244061"/>
              </w:rPr>
              <w:t xml:space="preserve">, Superseded 30/04/2020</w:t>
            </w:r>
          </w:p>
          <w:p>
            <w:r>
              <w:br/>
            </w:r>
            <w:r>
              <w:rPr>
                <w:rStyle w:val="row-content"/>
              </w:rPr>
              <w:t xml:space="preserve">See also </w:t>
            </w:r>
            <w:hyperlink w:history="true" r:id="Rc5ed5367ff0441b4">
              <w:r>
                <w:rPr>
                  <w:rStyle w:val="Hyperlink"/>
                </w:rPr>
                <w:t xml:space="preserve">Episode of residential care—episode end mode, code N</w:t>
              </w:r>
            </w:hyperlink>
          </w:p>
          <w:p>
            <w:pPr>
              <w:spacing w:before="0" w:after="0"/>
            </w:pPr>
            <w:r>
              <w:rPr>
                <w:rStyle w:val="row-content"/>
                <w:color w:val="244061"/>
              </w:rPr>
              <w:t xml:space="preserve">       </w:t>
            </w:r>
            <w:hyperlink w:history="true" r:id="R25186b735c5d48b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1d3c573743429d">
              <w:r>
                <w:rPr>
                  <w:rStyle w:val="Hyperlink"/>
                </w:rPr>
                <w:t xml:space="preserve">Activity based funding: Mental health care DSS 2016-17</w:t>
              </w:r>
            </w:hyperlink>
          </w:p>
          <w:p>
            <w:pPr>
              <w:spacing w:before="0" w:after="0"/>
            </w:pPr>
            <w:r>
              <w:rPr>
                <w:rStyle w:val="row-content"/>
                <w:color w:val="244061"/>
              </w:rPr>
              <w:t xml:space="preserve">       </w:t>
            </w:r>
            <w:hyperlink w:history="true" r:id="R29092cac64724665">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6c87a9536f994d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7064882e7442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87a9536f994d2e" /><Relationship Type="http://schemas.openxmlformats.org/officeDocument/2006/relationships/header" Target="/word/header1.xml" Id="Rd71c9cff9d8d4acc" /><Relationship Type="http://schemas.openxmlformats.org/officeDocument/2006/relationships/settings" Target="/word/settings.xml" Id="Rf6bd480bbc504683" /><Relationship Type="http://schemas.openxmlformats.org/officeDocument/2006/relationships/styles" Target="/word/styles.xml" Id="R677de16a5ec24def" /><Relationship Type="http://schemas.openxmlformats.org/officeDocument/2006/relationships/hyperlink" Target="https://meteor.aihw.gov.au/RegistrationAuthority/3" TargetMode="External" Id="Rf0b0f5544c62418b" /><Relationship Type="http://schemas.openxmlformats.org/officeDocument/2006/relationships/hyperlink" Target="https://meteor.aihw.gov.au/content/327268" TargetMode="External" Id="R369b7b058ad747ef" /><Relationship Type="http://schemas.openxmlformats.org/officeDocument/2006/relationships/hyperlink" Target="https://meteor.aihw.gov.au/content/614141" TargetMode="External" Id="R3109632d0add4857" /><Relationship Type="http://schemas.openxmlformats.org/officeDocument/2006/relationships/hyperlink" Target="https://meteor.aihw.gov.au/content/614144" TargetMode="External" Id="Re24e8d51a12e4516" /><Relationship Type="http://schemas.openxmlformats.org/officeDocument/2006/relationships/hyperlink" Target="https://meteor.aihw.gov.au/content/270094" TargetMode="External" Id="Rcaae4261e4ca4b10" /><Relationship Type="http://schemas.openxmlformats.org/officeDocument/2006/relationships/hyperlink" Target="https://meteor.aihw.gov.au/content/524966" TargetMode="External" Id="R7c42af9e40cd4e17" /><Relationship Type="http://schemas.openxmlformats.org/officeDocument/2006/relationships/hyperlink" Target="https://meteor.aihw.gov.au/content/270094" TargetMode="External" Id="R12f89a84ba9e4525" /><Relationship Type="http://schemas.openxmlformats.org/officeDocument/2006/relationships/hyperlink" Target="https://meteor.aihw.gov.au/RegistrationAuthority/12" TargetMode="External" Id="R929a1a4c966a48f9" /><Relationship Type="http://schemas.openxmlformats.org/officeDocument/2006/relationships/hyperlink" Target="https://meteor.aihw.gov.au/content/524966" TargetMode="External" Id="Rc5ed5367ff0441b4" /><Relationship Type="http://schemas.openxmlformats.org/officeDocument/2006/relationships/hyperlink" Target="https://meteor.aihw.gov.au/RegistrationAuthority/12" TargetMode="External" Id="R25186b735c5d48b8" /><Relationship Type="http://schemas.openxmlformats.org/officeDocument/2006/relationships/hyperlink" Target="https://meteor.aihw.gov.au/content/613880" TargetMode="External" Id="R331d3c573743429d" /><Relationship Type="http://schemas.openxmlformats.org/officeDocument/2006/relationships/hyperlink" Target="https://meteor.aihw.gov.au/RegistrationAuthority/3" TargetMode="External" Id="R29092cac64724665" /></Relationships>
</file>

<file path=word/_rels/header1.xml.rels>&#65279;<?xml version="1.0" encoding="utf-8"?><Relationships xmlns="http://schemas.openxmlformats.org/package/2006/relationships"><Relationship Type="http://schemas.openxmlformats.org/officeDocument/2006/relationships/image" Target="/media/image.png" Id="R007064882e74426f" /></Relationships>
</file>