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264004a7b740a3" /></Relationships>
</file>

<file path=word/document.xml><?xml version="1.0" encoding="utf-8"?>
<w:document xmlns:r="http://schemas.openxmlformats.org/officeDocument/2006/relationships" xmlns:w="http://schemas.openxmlformats.org/wordprocessingml/2006/main">
  <w:body>
    <w:p>
      <w:pPr>
        <w:pStyle w:val="Title"/>
      </w:pPr>
      <w:r>
        <w:t>Acute coronary syndromes: 2c-ECG performed within 10 minutes of arrival to the emergency department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2c-ECG performed within 10 minutes of arrival to the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2c-ECG performed within 10 minutes of arrival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1b4c85c824cf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including patients presenting to the emergency department (ED) via ambulance, with acute chest pain or other symptoms suggestive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026605b948fa40ce">
              <w:r>
                <w:rPr>
                  <w:rStyle w:val="Hyperlink"/>
                  <w:b/>
                </w:rPr>
                <w:t xml:space="preserve">acute coronary syndrome (ACS)</w:t>
              </w:r>
            </w:hyperlink>
            <w:r>
              <w:rPr>
                <w:rStyle w:val="row-content-rich-text"/>
              </w:rPr>
              <w:t xml:space="preserve">, with an electrocardiogram (ECG) performed and interpreted before or within 10 minutes of arrival to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optimises door-to-needle time and time to other interventions. The time taken to record the first ECG is a good index of quality care. The European Society of Cardiology guidelines identify that ECG should be performed within 10 minutes or less after the first medical contact (either on arrival of the patient in ED or at first contact with emergency medical services in the pre-hospital setting) and immediately interpreted by a qualified physician (Steg et al. 2012; Hamm et al.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66dd6bd3c84f2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43f9658fc8dc454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d4a44fbf224a99">
              <w:r>
                <w:rPr>
                  <w:rStyle w:val="Hyperlink"/>
                </w:rPr>
                <w:t xml:space="preserve">Early assessment</w:t>
              </w:r>
            </w:hyperlink>
          </w:p>
          <w:p>
            <w:pPr>
              <w:spacing w:before="0" w:after="0"/>
            </w:pPr>
            <w:r>
              <w:rPr>
                <w:rStyle w:val="row-content"/>
                <w:color w:val="244061"/>
              </w:rPr>
              <w:t xml:space="preserve">       </w:t>
            </w:r>
            <w:hyperlink w:history="true" r:id="Rbe848859ef98415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For hospitals collecting the </w:t>
            </w:r>
            <w:hyperlink w:history="true" r:id="R9b88fe7d34274511">
              <w:r>
                <w:rPr>
                  <w:rStyle w:val="Hyperlink"/>
                </w:rPr>
                <w:t xml:space="preserve">Acute coronary syndrome (clinical) National best practice data set</w:t>
              </w:r>
            </w:hyperlink>
            <w:r>
              <w:rPr>
                <w:rStyle w:val="row-content-rich-text"/>
              </w:rPr>
              <w:t xml:space="preserve">, the difference between the following data elements can provide the time within which ECG is performed:</w:t>
            </w:r>
          </w:p>
          <w:p>
            <w:pPr>
              <w:pStyle w:val="ListParagraph"/>
              <w:numPr>
                <w:ilvl w:val="0"/>
                <w:numId w:val="2"/>
              </w:numPr>
            </w:pPr>
            <w:hyperlink w:history="true" r:id="R4bc7f5be73d244c1">
              <w:r>
                <w:rPr>
                  <w:rStyle w:val="Hyperlink"/>
                </w:rPr>
                <w:t xml:space="preserve">Health service event—presentation date, DDMMYYYY</w:t>
              </w:r>
            </w:hyperlink>
            <w:r>
              <w:rPr>
                <w:rStyle w:val="row-content-rich-text"/>
              </w:rPr>
              <w:t xml:space="preserve"> combined with </w:t>
            </w:r>
            <w:hyperlink w:history="true" r:id="R6ec41c291d49433b">
              <w:r>
                <w:rPr>
                  <w:rStyle w:val="Hyperlink"/>
                </w:rPr>
                <w:t xml:space="preserve">Health service event—presentation time, hhmm</w:t>
              </w:r>
            </w:hyperlink>
          </w:p>
          <w:p>
            <w:pPr>
              <w:spacing w:after="160"/>
            </w:pPr>
            <w:r>
              <w:rPr>
                <w:rStyle w:val="row-content-rich-text"/>
              </w:rPr>
              <w:t xml:space="preserve">and</w:t>
            </w:r>
          </w:p>
          <w:p>
            <w:pPr>
              <w:pStyle w:val="ListParagraph"/>
              <w:numPr>
                <w:ilvl w:val="0"/>
                <w:numId w:val="3"/>
              </w:numPr>
            </w:pPr>
            <w:hyperlink w:history="true" r:id="R51e042ff1946453c">
              <w:r>
                <w:rPr>
                  <w:rStyle w:val="Hyperlink"/>
                </w:rPr>
                <w:t xml:space="preserve">Electrocardiogram—electrocardiogram date, DDMMYYYY</w:t>
              </w:r>
            </w:hyperlink>
            <w:r>
              <w:rPr>
                <w:rStyle w:val="row-content-rich-text"/>
              </w:rPr>
              <w:t xml:space="preserve"> combined with </w:t>
            </w:r>
            <w:hyperlink w:history="true" r:id="R05aee0265ab84cfc">
              <w:r>
                <w:rPr>
                  <w:rStyle w:val="Hyperlink"/>
                </w:rPr>
                <w:t xml:space="preserve">Electrocardiogram—electrocardiogram time, hhmm</w:t>
              </w:r>
            </w:hyperlink>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including patients presenting to ED via ambulance, with acute chest pain or other symptoms suggestive of ACS, with ECG performed and interpreted before or within 10 minutes of arrival to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ED, including via ambulance, with acute chest pain or other symptoms suggestive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common practice for doctors and senior nursing staff to sign ECGs on review, with date and time of review.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Hamm C et al. 2011. ESC Guidelines for the management of acute coronary syndromes in patients presenting without persistent ST-segment-elevation. European Heart Journal 32:2999–3054.</w:t>
            </w:r>
          </w:p>
          <w:p>
            <w:pPr/>
            <w:r>
              <w:rPr>
                <w:rStyle w:val="row-content-rich-text"/>
              </w:rPr>
              <w:t xml:space="preserve">Steg P et al. 2012. ESC Guidelines for the management of acute myocardial infarction in patients presenting with ST-segment-elevation. European Heart Journal 33:2569–2619.</w:t>
            </w:r>
          </w:p>
        </w:tc>
      </w:tr>
    </w:tbl>
    <w:p>
      <w:r>
        <w:br/>
      </w:r>
    </w:p>
    <w:sectPr>
      <w:footerReference xmlns:r="http://schemas.openxmlformats.org/officeDocument/2006/relationships" w:type="default" r:id="Raea1011ab291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c7ac531bf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1011ab2914d55" /><Relationship Type="http://schemas.openxmlformats.org/officeDocument/2006/relationships/header" Target="/word/header1.xml" Id="R42d3db18de5f46e9" /><Relationship Type="http://schemas.openxmlformats.org/officeDocument/2006/relationships/settings" Target="/word/settings.xml" Id="R28f36fcbbfd54421" /><Relationship Type="http://schemas.openxmlformats.org/officeDocument/2006/relationships/styles" Target="/word/styles.xml" Id="Rd317d3cc8c2f4024" /><Relationship Type="http://schemas.openxmlformats.org/officeDocument/2006/relationships/hyperlink" Target="https://meteor.aihw.gov.au/RegistrationAuthority/12" TargetMode="External" Id="Re3c1b4c85c824cf9" /><Relationship Type="http://schemas.openxmlformats.org/officeDocument/2006/relationships/hyperlink" Target="https://meteor.aihw.gov.au/content/628778" TargetMode="External" Id="R026605b948fa40ce" /><Relationship Type="http://schemas.openxmlformats.org/officeDocument/2006/relationships/hyperlink" Target="https://meteor.aihw.gov.au/content/612027" TargetMode="External" Id="R6266dd6bd3c84f2b" /><Relationship Type="http://schemas.openxmlformats.org/officeDocument/2006/relationships/hyperlink" Target="https://meteor.aihw.gov.au/RegistrationAuthority/12" TargetMode="External" Id="R43f9658fc8dc4547" /><Relationship Type="http://schemas.openxmlformats.org/officeDocument/2006/relationships/hyperlink" Target="https://meteor.aihw.gov.au/content/624368" TargetMode="External" Id="R66d4a44fbf224a99" /><Relationship Type="http://schemas.openxmlformats.org/officeDocument/2006/relationships/hyperlink" Target="https://meteor.aihw.gov.au/RegistrationAuthority/12" TargetMode="External" Id="Rbe848859ef98415d" /><Relationship Type="http://schemas.openxmlformats.org/officeDocument/2006/relationships/hyperlink" Target="https://meteor.aihw.gov.au/content/621789" TargetMode="External" Id="R9b88fe7d34274511" /><Relationship Type="http://schemas.openxmlformats.org/officeDocument/2006/relationships/numbering" Target="/word/numbering.xml" Id="Rac397e72da84421d" /><Relationship Type="http://schemas.openxmlformats.org/officeDocument/2006/relationships/hyperlink" Target="https://meteor.aihw.gov.au/content/270393" TargetMode="External" Id="R4bc7f5be73d244c1" /><Relationship Type="http://schemas.openxmlformats.org/officeDocument/2006/relationships/hyperlink" Target="https://meteor.aihw.gov.au/content/270080" TargetMode="External" Id="R6ec41c291d49433b" /><Relationship Type="http://schemas.openxmlformats.org/officeDocument/2006/relationships/hyperlink" Target="https://meteor.aihw.gov.au/content/343820" TargetMode="External" Id="R51e042ff1946453c" /><Relationship Type="http://schemas.openxmlformats.org/officeDocument/2006/relationships/hyperlink" Target="https://meteor.aihw.gov.au/content/343831" TargetMode="External" Id="R05aee0265ab84cfc" /></Relationships>
</file>

<file path=word/_rels/header1.xml.rels>&#65279;<?xml version="1.0" encoding="utf-8"?><Relationships xmlns="http://schemas.openxmlformats.org/package/2006/relationships"><Relationship Type="http://schemas.openxmlformats.org/officeDocument/2006/relationships/image" Target="/media/image.png" Id="Rd91c7ac531bf4df6" /></Relationships>
</file>