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4963ceb824d40" /></Relationships>
</file>

<file path=word/document.xml><?xml version="1.0" encoding="utf-8"?>
<w:document xmlns:r="http://schemas.openxmlformats.org/officeDocument/2006/relationships" xmlns:w="http://schemas.openxmlformats.org/wordprocessingml/2006/main">
  <w:body>
    <w:p>
      <w:pPr>
        <w:pStyle w:val="Title"/>
      </w:pPr>
      <w:r>
        <w:t>Antimicrobial stewardship: 9c-Cessation of prophylactic antibiotics following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9c-Cessation of prophylactic antibiotics following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9c-Cessation of prophylactic antibiotics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1240efe7345b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1e3ea50de7ec48e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whose prophylactic antibiotics were discontinued within 24 hours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One-third to one-half of antibiotic use in hospitals is for surgical antibiotic prophylaxis. Surgical antibiotic prophylaxis is used inappropriately 30–90 per cent of the time, especially with respect to timing and duration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adc509da504b77">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bcf77a88b82a4973">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f5796392f1ff429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f8802413704bea">
              <w:r>
                <w:rPr>
                  <w:rStyle w:val="Hyperlink"/>
                </w:rPr>
                <w:t xml:space="preserve">Surgical prophylaxis</w:t>
              </w:r>
            </w:hyperlink>
          </w:p>
          <w:p>
            <w:pPr>
              <w:spacing w:before="0" w:after="0"/>
            </w:pPr>
            <w:r>
              <w:rPr>
                <w:rStyle w:val="row-content"/>
                <w:color w:val="244061"/>
              </w:rPr>
              <w:t xml:space="preserve">       </w:t>
            </w:r>
            <w:hyperlink w:history="true" r:id="R278b0fb35b02474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excludes patients for whom longer antibiotic prophylaxis is indicated by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 or for the treatment of specific conditions (e.g. a patient undergoing a complex operation, where antibiotic treatment is required for a pre-existing infection, or a patient who is immunocompromised).</w:t>
            </w:r>
          </w:p>
          <w:p>
            <w:pPr>
              <w:spacing w:after="160"/>
            </w:pPr>
            <w:r>
              <w:rPr>
                <w:rStyle w:val="row-content-rich-text"/>
              </w:rPr>
              <w:t xml:space="preserve">The denominator excludes patients for whom longer antibiotic prophylaxis is indicated by the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 or for the treatment of specific conditions.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prior to surgery whose antibiotics were discontinued within 24 hours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prior to surgery for which there are documented guidelines for the administration of prophylactic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r>
              <w:rPr>
                <w:rStyle w:val="row-content-rich-text"/>
              </w:rPr>
              <w:t xml:space="preserve"> (</w:t>
            </w:r>
            <w:r>
              <w:rPr>
                <w:rStyle w:val="row-content-rich-text"/>
              </w:rPr>
              <w:t xml:space="preserve">Antibiotic Expert Group 2014).</w:t>
            </w:r>
          </w:p>
          <w:p>
            <w:pPr>
              <w:spacing w:after="160"/>
            </w:pPr>
            <w:r>
              <w:rPr>
                <w:rStyle w:val="row-content-rich-text"/>
              </w:rPr>
              <w:t xml:space="preserve">Deliberate continuation of antibiotics after 24 hours for the treatment of an infection does not constitute surgical prophylaxis.</w:t>
            </w:r>
          </w:p>
          <w:p>
            <w:pPr>
              <w:spacing w:after="160"/>
            </w:pPr>
            <w:r>
              <w:rPr>
                <w:rStyle w:val="row-content-rich-text"/>
              </w:rPr>
              <w:t xml:space="preserve">Services may select specific procedures to focus on as part of the audit process, based on their own casemix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231df1b71d6f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6189d4cc8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df1b71d6f4860" /><Relationship Type="http://schemas.openxmlformats.org/officeDocument/2006/relationships/header" Target="/word/header1.xml" Id="R48db0271c20146a2" /><Relationship Type="http://schemas.openxmlformats.org/officeDocument/2006/relationships/settings" Target="/word/settings.xml" Id="R3cd3a1253f434b1a" /><Relationship Type="http://schemas.openxmlformats.org/officeDocument/2006/relationships/styles" Target="/word/styles.xml" Id="R4d2344ce98104e1d" /><Relationship Type="http://schemas.openxmlformats.org/officeDocument/2006/relationships/hyperlink" Target="https://meteor.aihw.gov.au/RegistrationAuthority/18" TargetMode="External" Id="Rff91240efe7345b2" /><Relationship Type="http://schemas.openxmlformats.org/officeDocument/2006/relationships/hyperlink" Target="https://meteor.aihw.gov.au/RegistrationAuthority/12" TargetMode="External" Id="R1e3ea50de7ec48e8" /><Relationship Type="http://schemas.openxmlformats.org/officeDocument/2006/relationships/hyperlink" Target="https://meteor.aihw.gov.au/content/612216" TargetMode="External" Id="R71adc509da504b77" /><Relationship Type="http://schemas.openxmlformats.org/officeDocument/2006/relationships/hyperlink" Target="https://meteor.aihw.gov.au/RegistrationAuthority/18" TargetMode="External" Id="Rbcf77a88b82a4973" /><Relationship Type="http://schemas.openxmlformats.org/officeDocument/2006/relationships/hyperlink" Target="https://meteor.aihw.gov.au/RegistrationAuthority/12" TargetMode="External" Id="Rf5796392f1ff4296" /><Relationship Type="http://schemas.openxmlformats.org/officeDocument/2006/relationships/hyperlink" Target="https://meteor.aihw.gov.au/content/624364" TargetMode="External" Id="R47f8802413704bea" /><Relationship Type="http://schemas.openxmlformats.org/officeDocument/2006/relationships/hyperlink" Target="https://meteor.aihw.gov.au/RegistrationAuthority/12" TargetMode="External" Id="R278b0fb35b024741" /></Relationships>
</file>

<file path=word/_rels/header1.xml.rels>&#65279;<?xml version="1.0" encoding="utf-8"?><Relationships xmlns="http://schemas.openxmlformats.org/package/2006/relationships"><Relationship Type="http://schemas.openxmlformats.org/officeDocument/2006/relationships/image" Target="/media/image.png" Id="Rdfd6189d4cc84639" /></Relationships>
</file>