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09800e7774f97" /></Relationships>
</file>

<file path=word/document.xml><?xml version="1.0" encoding="utf-8"?>
<w:document xmlns:r="http://schemas.openxmlformats.org/officeDocument/2006/relationships" xmlns:w="http://schemas.openxmlformats.org/wordprocessingml/2006/main">
  <w:body>
    <w:p>
      <w:pPr>
        <w:pStyle w:val="Title"/>
      </w:pPr>
      <w:r>
        <w:t>Antimicrobial stewardship: 9b-Timely administration of prophylactic antibiotics prior to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9b-Timely administration of prophylactic antibiotics prior to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9b-Timely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2a74fcef3447b">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040c6bf62968435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administered indicated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21b6426f4b4f55">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460c69db4caf4ff6">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59a92c450d343c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0eb6852ce94dfc">
              <w:r>
                <w:rPr>
                  <w:rStyle w:val="Hyperlink"/>
                </w:rPr>
                <w:t xml:space="preserve">Surgical prophylaxis</w:t>
              </w:r>
            </w:hyperlink>
          </w:p>
          <w:p>
            <w:pPr>
              <w:spacing w:before="0" w:after="0"/>
            </w:pPr>
            <w:r>
              <w:rPr>
                <w:rStyle w:val="row-content"/>
                <w:color w:val="244061"/>
              </w:rPr>
              <w:t xml:space="preserve">       </w:t>
            </w:r>
            <w:hyperlink w:history="true" r:id="R0cb3d4b2d0f74f1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whom guidelines recommend otherwise.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version of the </w:t>
            </w:r>
            <w:r>
              <w:rPr>
                <w:rStyle w:val="row-content-rich-text"/>
                <w:i/>
              </w:rPr>
              <w:t xml:space="preserve">Therapeutic guidelines: antibiotic</w:t>
            </w:r>
            <w:r>
              <w:rPr>
                <w:rStyle w:val="row-content-rich-text"/>
              </w:rPr>
              <w:t xml:space="preserve"> recommend that prophylactic antibiotics be provided as soon as the patient is stabilised after induction of anaesthesia for most surgery, except for cardiac surgery, where there may be benefit from 24 hours of antibiotic prophylaxis. Some local guidelines can recommend the administration of surgical prophylaxis of up to 2 hours before surgery.</w:t>
            </w:r>
          </w:p>
          <w:p>
            <w:pPr>
              <w:spacing w:after="160"/>
            </w:pPr>
            <w:r>
              <w:rPr>
                <w:rStyle w:val="row-content-rich-text"/>
              </w:rPr>
              <w:t xml:space="preserve">The</w:t>
            </w:r>
            <w:r>
              <w:rPr>
                <w:rStyle w:val="row-content-rich-text"/>
                <w:i/>
              </w:rPr>
              <w:t xml:space="preserve"> Therapeutic guidelines: </w:t>
            </w:r>
            <w:r>
              <w:rPr>
                <w:rStyle w:val="row-content-rich-text"/>
                <w:i/>
              </w:rPr>
              <w:t xml:space="preserve">antibiotic</w:t>
            </w:r>
            <w:r>
              <w:rPr>
                <w:rStyle w:val="row-content-rich-text"/>
              </w:rPr>
              <w:t xml:space="preserve"> provides guidelines for administration of prophylactic antibiotics for the following types of surgery:</w:t>
            </w:r>
          </w:p>
          <w:p>
            <w:pPr>
              <w:pStyle w:val="ListParagraph"/>
              <w:numPr>
                <w:ilvl w:val="0"/>
                <w:numId w:val="2"/>
              </w:numPr>
            </w:pPr>
            <w:r>
              <w:rPr>
                <w:rStyle w:val="row-content-rich-text"/>
              </w:rPr>
              <w:t xml:space="preserve">abdominal surgery, including:</w:t>
            </w:r>
            <w:r>
              <w:br/>
            </w:r>
            <w:r>
              <w:rPr>
                <w:rStyle w:val="row-content-rich-text"/>
              </w:rPr>
              <w:t xml:space="preserve">        • colorectal surgery, appendectomy,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2"/>
              </w:numPr>
            </w:pPr>
            <w:r>
              <w:rPr>
                <w:rStyle w:val="row-content-rich-text"/>
              </w:rPr>
              <w:t xml:space="preserve">burns, extensive skin loss</w:t>
            </w:r>
          </w:p>
          <w:p>
            <w:pPr>
              <w:pStyle w:val="ListParagraph"/>
              <w:numPr>
                <w:ilvl w:val="0"/>
                <w:numId w:val="2"/>
              </w:numPr>
            </w:pPr>
            <w:r>
              <w:rPr>
                <w:rStyle w:val="row-content-rich-text"/>
              </w:rPr>
              <w:t xml:space="preserve">cardiac surgery</w:t>
            </w:r>
          </w:p>
          <w:p>
            <w:pPr>
              <w:pStyle w:val="ListParagraph"/>
              <w:numPr>
                <w:ilvl w:val="0"/>
                <w:numId w:val="2"/>
              </w:numPr>
            </w:pPr>
            <w:r>
              <w:rPr>
                <w:rStyle w:val="row-content-rich-text"/>
              </w:rPr>
              <w:t xml:space="preserve">head, neck and thoracic surgery</w:t>
            </w:r>
          </w:p>
          <w:p>
            <w:pPr>
              <w:pStyle w:val="ListParagraph"/>
              <w:numPr>
                <w:ilvl w:val="0"/>
                <w:numId w:val="2"/>
              </w:numPr>
            </w:pPr>
            <w:r>
              <w:rPr>
                <w:rStyle w:val="row-content-rich-text"/>
              </w:rPr>
              <w:t xml:space="preserve">lower limb amputation</w:t>
            </w:r>
          </w:p>
          <w:p>
            <w:pPr>
              <w:pStyle w:val="ListParagraph"/>
              <w:numPr>
                <w:ilvl w:val="0"/>
                <w:numId w:val="2"/>
              </w:numPr>
            </w:pPr>
            <w:r>
              <w:rPr>
                <w:rStyle w:val="row-content-rich-text"/>
              </w:rPr>
              <w:t xml:space="preserve">neurosurgery</w:t>
            </w:r>
          </w:p>
          <w:p>
            <w:pPr>
              <w:pStyle w:val="ListParagraph"/>
              <w:numPr>
                <w:ilvl w:val="0"/>
                <w:numId w:val="2"/>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2"/>
              </w:numPr>
            </w:pPr>
            <w:r>
              <w:rPr>
                <w:rStyle w:val="row-content-rich-text"/>
              </w:rPr>
              <w:t xml:space="preserve">orthopaedic surgery</w:t>
            </w:r>
          </w:p>
          <w:p>
            <w:pPr>
              <w:pStyle w:val="ListParagraph"/>
              <w:numPr>
                <w:ilvl w:val="0"/>
                <w:numId w:val="2"/>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2"/>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patient 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d6b28e67b486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107916b95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28e67b4864fe2" /><Relationship Type="http://schemas.openxmlformats.org/officeDocument/2006/relationships/header" Target="/word/header1.xml" Id="Rb280cd7bc82941b4" /><Relationship Type="http://schemas.openxmlformats.org/officeDocument/2006/relationships/settings" Target="/word/settings.xml" Id="Rec7dbc3134224a89" /><Relationship Type="http://schemas.openxmlformats.org/officeDocument/2006/relationships/styles" Target="/word/styles.xml" Id="Re7ef107edb254101" /><Relationship Type="http://schemas.openxmlformats.org/officeDocument/2006/relationships/hyperlink" Target="https://meteor.aihw.gov.au/RegistrationAuthority/18" TargetMode="External" Id="Rc522a74fcef3447b" /><Relationship Type="http://schemas.openxmlformats.org/officeDocument/2006/relationships/hyperlink" Target="https://meteor.aihw.gov.au/RegistrationAuthority/12" TargetMode="External" Id="R040c6bf629684357" /><Relationship Type="http://schemas.openxmlformats.org/officeDocument/2006/relationships/hyperlink" Target="https://meteor.aihw.gov.au/content/612216" TargetMode="External" Id="R0221b6426f4b4f55" /><Relationship Type="http://schemas.openxmlformats.org/officeDocument/2006/relationships/hyperlink" Target="https://meteor.aihw.gov.au/RegistrationAuthority/18" TargetMode="External" Id="R460c69db4caf4ff6" /><Relationship Type="http://schemas.openxmlformats.org/officeDocument/2006/relationships/hyperlink" Target="https://meteor.aihw.gov.au/RegistrationAuthority/12" TargetMode="External" Id="Rb59a92c450d343c7" /><Relationship Type="http://schemas.openxmlformats.org/officeDocument/2006/relationships/hyperlink" Target="https://meteor.aihw.gov.au/content/624364" TargetMode="External" Id="R200eb6852ce94dfc" /><Relationship Type="http://schemas.openxmlformats.org/officeDocument/2006/relationships/hyperlink" Target="https://meteor.aihw.gov.au/RegistrationAuthority/12" TargetMode="External" Id="R0cb3d4b2d0f74f14" /><Relationship Type="http://schemas.openxmlformats.org/officeDocument/2006/relationships/numbering" Target="/word/numbering.xml" Id="Rd4dd0972c4264af3" /></Relationships>
</file>

<file path=word/_rels/header1.xml.rels>&#65279;<?xml version="1.0" encoding="utf-8"?><Relationships xmlns="http://schemas.openxmlformats.org/package/2006/relationships"><Relationship Type="http://schemas.openxmlformats.org/officeDocument/2006/relationships/image" Target="/media/image.png" Id="R352107916b954a95" /></Relationships>
</file>