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50bcf5314f4cbf" /></Relationships>
</file>

<file path=word/document.xml><?xml version="1.0" encoding="utf-8"?>
<w:document xmlns:r="http://schemas.openxmlformats.org/officeDocument/2006/relationships" xmlns:w="http://schemas.openxmlformats.org/wordprocessingml/2006/main">
  <w:body>
    <w:p>
      <w:pPr>
        <w:pStyle w:val="Title"/>
      </w:pPr>
      <w:r>
        <w:t>Antimicrobial stewardship: 9b-Timely administration of prophylactic antibiotics prior to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9b-Timely administration of prophylactic antibiotics prior to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9b-Timely administration of prophylactic antibiotics prior to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3df06910144d9">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358692132dd440c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are administered indicated prophylactic antibiotics within two hours preceding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One-third to one-half of antibiotic use in hospitals is for surgical antibiotic prophylaxis. Surgical antibiotic prophylaxis is used inappropriately 30–90 per cent of the time, especially with respect to timing and duration (Antibiotic Expert Group 2014)</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a04901ac2e4a0a">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f4ca33c599d64c33">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62b0c31cbc92421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8e4f6c82864c93">
              <w:r>
                <w:rPr>
                  <w:rStyle w:val="Hyperlink"/>
                </w:rPr>
                <w:t xml:space="preserve">Surgical prophylaxis</w:t>
              </w:r>
            </w:hyperlink>
          </w:p>
          <w:p>
            <w:pPr>
              <w:spacing w:before="0" w:after="0"/>
            </w:pPr>
            <w:r>
              <w:rPr>
                <w:rStyle w:val="row-content"/>
                <w:color w:val="244061"/>
              </w:rPr>
              <w:t xml:space="preserve">       </w:t>
            </w:r>
            <w:hyperlink w:history="true" r:id="R8147ceaf13ae455b">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Prophylaxis is the use of antibiotics to prevent surgical site infection and, in some circumstances, bacteraemia.</w:t>
            </w:r>
          </w:p>
          <w:p>
            <w:pPr>
              <w:spacing w:after="160"/>
            </w:pPr>
            <w:r>
              <w:rPr>
                <w:rStyle w:val="row-content-rich-text"/>
              </w:rPr>
              <w:t xml:space="preserve">The numerator and denominator include patients undergoing surgery for which there are documented guidelines for the administration of prophylactic antibiotics prior to surgery, that is,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or locally-endorsed antibiotic prescribing guidelines.</w:t>
            </w:r>
          </w:p>
          <w:p>
            <w:pPr>
              <w:spacing w:after="160"/>
            </w:pPr>
            <w:r>
              <w:rPr>
                <w:rStyle w:val="row-content-rich-text"/>
              </w:rPr>
              <w:t xml:space="preserve">The numerator and denominator exclude patients undergoing surgery for which there are no documented guidelines for the administration of prophylactic antibiotics prior to surgery, that is, the </w:t>
            </w:r>
            <w:r>
              <w:rPr>
                <w:rStyle w:val="row-content-rich-text"/>
                <w:i/>
              </w:rPr>
              <w:t xml:space="preserve">Therapeutic guidelines: </w:t>
            </w:r>
            <w:r>
              <w:rPr>
                <w:rStyle w:val="row-content-rich-text"/>
                <w:i/>
              </w:rPr>
              <w:t xml:space="preserve">antibiotic</w:t>
            </w:r>
            <w:r>
              <w:rPr>
                <w:rStyle w:val="row-content-rich-text"/>
              </w:rPr>
              <w:t xml:space="preserve"> or locally-endorsed antibiotic prescribing guidelines, or for whom guidelines recommend otherwise.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who received prophylactic antibiotics within two hours preceding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undergoing surgery for which there are documented guidelines for the administration of prophylactic antibiotics prior to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version of the </w:t>
            </w:r>
            <w:r>
              <w:rPr>
                <w:rStyle w:val="row-content-rich-text"/>
                <w:i/>
              </w:rPr>
              <w:t xml:space="preserve">Therapeutic guidelines: antibiotic</w:t>
            </w:r>
            <w:r>
              <w:rPr>
                <w:rStyle w:val="row-content-rich-text"/>
              </w:rPr>
              <w:t xml:space="preserve"> recommend that prophylactic antibiotics be provided as soon as the patient is stabilised after induction of anaesthesia for most surgery, except for cardiac surgery, where there may be benefit from 24 hours of antibiotic prophylaxis. Some local guidelines can recommend the administration of surgical prophylaxis of up to 2 hours before surgery.</w:t>
            </w:r>
          </w:p>
          <w:p>
            <w:pPr>
              <w:spacing w:after="160"/>
            </w:pPr>
            <w:r>
              <w:rPr>
                <w:rStyle w:val="row-content-rich-text"/>
              </w:rPr>
              <w:t xml:space="preserve">The</w:t>
            </w:r>
            <w:r>
              <w:rPr>
                <w:rStyle w:val="row-content-rich-text"/>
                <w:i/>
              </w:rPr>
              <w:t xml:space="preserve"> Therapeutic guidelines: </w:t>
            </w:r>
            <w:r>
              <w:rPr>
                <w:rStyle w:val="row-content-rich-text"/>
                <w:i/>
              </w:rPr>
              <w:t xml:space="preserve">antibiotic</w:t>
            </w:r>
            <w:r>
              <w:rPr>
                <w:rStyle w:val="row-content-rich-text"/>
              </w:rPr>
              <w:t xml:space="preserve"> provides guidelines for administration of prophylactic antibiotics for the following types of surgery:</w:t>
            </w:r>
          </w:p>
          <w:p>
            <w:pPr>
              <w:pStyle w:val="ListParagraph"/>
              <w:numPr>
                <w:ilvl w:val="0"/>
                <w:numId w:val="2"/>
              </w:numPr>
            </w:pPr>
            <w:r>
              <w:rPr>
                <w:rStyle w:val="row-content-rich-text"/>
              </w:rPr>
              <w:t xml:space="preserve">abdominal surgery, including:</w:t>
            </w:r>
            <w:r>
              <w:br/>
            </w:r>
            <w:r>
              <w:rPr>
                <w:rStyle w:val="row-content-rich-text"/>
              </w:rPr>
              <w:t xml:space="preserve">        • colorectal surgery, appendectomy, and upper gastrointestinal tract or biliary surgery (including laparoscopic approaches)</w:t>
            </w:r>
            <w:r>
              <w:br/>
            </w:r>
            <w:r>
              <w:rPr>
                <w:rStyle w:val="row-content-rich-text"/>
              </w:rPr>
              <w:t xml:space="preserve">        • endoscopic procedures</w:t>
            </w:r>
            <w:r>
              <w:br/>
            </w:r>
            <w:r>
              <w:rPr>
                <w:rStyle w:val="row-content-rich-text"/>
              </w:rPr>
              <w:t xml:space="preserve">        • hernia repair</w:t>
            </w:r>
          </w:p>
          <w:p>
            <w:pPr>
              <w:pStyle w:val="ListParagraph"/>
              <w:numPr>
                <w:ilvl w:val="0"/>
                <w:numId w:val="2"/>
              </w:numPr>
            </w:pPr>
            <w:r>
              <w:rPr>
                <w:rStyle w:val="row-content-rich-text"/>
              </w:rPr>
              <w:t xml:space="preserve">burns, extensive skin loss</w:t>
            </w:r>
          </w:p>
          <w:p>
            <w:pPr>
              <w:pStyle w:val="ListParagraph"/>
              <w:numPr>
                <w:ilvl w:val="0"/>
                <w:numId w:val="2"/>
              </w:numPr>
            </w:pPr>
            <w:r>
              <w:rPr>
                <w:rStyle w:val="row-content-rich-text"/>
              </w:rPr>
              <w:t xml:space="preserve">cardiac surgery</w:t>
            </w:r>
          </w:p>
          <w:p>
            <w:pPr>
              <w:pStyle w:val="ListParagraph"/>
              <w:numPr>
                <w:ilvl w:val="0"/>
                <w:numId w:val="2"/>
              </w:numPr>
            </w:pPr>
            <w:r>
              <w:rPr>
                <w:rStyle w:val="row-content-rich-text"/>
              </w:rPr>
              <w:t xml:space="preserve">head, neck and thoracic surgery</w:t>
            </w:r>
          </w:p>
          <w:p>
            <w:pPr>
              <w:pStyle w:val="ListParagraph"/>
              <w:numPr>
                <w:ilvl w:val="0"/>
                <w:numId w:val="2"/>
              </w:numPr>
            </w:pPr>
            <w:r>
              <w:rPr>
                <w:rStyle w:val="row-content-rich-text"/>
              </w:rPr>
              <w:t xml:space="preserve">lower limb amputation</w:t>
            </w:r>
          </w:p>
          <w:p>
            <w:pPr>
              <w:pStyle w:val="ListParagraph"/>
              <w:numPr>
                <w:ilvl w:val="0"/>
                <w:numId w:val="2"/>
              </w:numPr>
            </w:pPr>
            <w:r>
              <w:rPr>
                <w:rStyle w:val="row-content-rich-text"/>
              </w:rPr>
              <w:t xml:space="preserve">neurosurgery</w:t>
            </w:r>
          </w:p>
          <w:p>
            <w:pPr>
              <w:pStyle w:val="ListParagraph"/>
              <w:numPr>
                <w:ilvl w:val="0"/>
                <w:numId w:val="2"/>
              </w:numPr>
            </w:pPr>
            <w:r>
              <w:rPr>
                <w:rStyle w:val="row-content-rich-text"/>
              </w:rPr>
              <w:t xml:space="preserve">obstetric and gynaecological surgery, including:</w:t>
            </w:r>
            <w:r>
              <w:br/>
            </w:r>
            <w:r>
              <w:rPr>
                <w:rStyle w:val="row-content-rich-text"/>
              </w:rPr>
              <w:t xml:space="preserve">        • hysterectomy and termination of pregnancy</w:t>
            </w:r>
            <w:r>
              <w:br/>
            </w:r>
            <w:r>
              <w:rPr>
                <w:rStyle w:val="row-content-rich-text"/>
              </w:rPr>
              <w:t xml:space="preserve">        • caesarean section</w:t>
            </w:r>
          </w:p>
          <w:p>
            <w:pPr>
              <w:pStyle w:val="ListParagraph"/>
              <w:numPr>
                <w:ilvl w:val="0"/>
                <w:numId w:val="2"/>
              </w:numPr>
            </w:pPr>
            <w:r>
              <w:rPr>
                <w:rStyle w:val="row-content-rich-text"/>
              </w:rPr>
              <w:t xml:space="preserve">orthopaedic surgery</w:t>
            </w:r>
          </w:p>
          <w:p>
            <w:pPr>
              <w:pStyle w:val="ListParagraph"/>
              <w:numPr>
                <w:ilvl w:val="0"/>
                <w:numId w:val="2"/>
              </w:numPr>
            </w:pPr>
            <w:r>
              <w:rPr>
                <w:rStyle w:val="row-content-rich-text"/>
              </w:rPr>
              <w:t xml:space="preserve">urological surgery, including:</w:t>
            </w:r>
            <w:r>
              <w:br/>
            </w:r>
            <w:r>
              <w:rPr>
                <w:rStyle w:val="row-content-rich-text"/>
              </w:rPr>
              <w:t xml:space="preserve">        • prostatectomy</w:t>
            </w:r>
            <w:r>
              <w:br/>
            </w:r>
            <w:r>
              <w:rPr>
                <w:rStyle w:val="row-content-rich-text"/>
              </w:rPr>
              <w:t xml:space="preserve">        • transrectal prostatic biopsy</w:t>
            </w:r>
          </w:p>
          <w:p>
            <w:pPr>
              <w:pStyle w:val="ListParagraph"/>
              <w:numPr>
                <w:ilvl w:val="0"/>
                <w:numId w:val="2"/>
              </w:numPr>
            </w:pPr>
            <w:r>
              <w:rPr>
                <w:rStyle w:val="row-content-rich-text"/>
              </w:rPr>
              <w:t xml:space="preserve">vascular surgery.</w:t>
            </w:r>
          </w:p>
          <w:p>
            <w:pPr>
              <w:spacing w:after="160"/>
            </w:pPr>
            <w:r>
              <w:rPr>
                <w:rStyle w:val="row-content-rich-text"/>
              </w:rPr>
              <w:t xml:space="preserve">Services may select specific procedures to focus on as part of the audit process, based on their own patient mix and priorities.</w:t>
            </w:r>
          </w:p>
          <w:p>
            <w:pPr/>
            <w:r>
              <w:rPr>
                <w:rStyle w:val="row-content-rich-text"/>
              </w:rPr>
              <w:t xml:space="preserve">This indicator is based on surgical antibiotic prophylaxis indicators developed by the then Victorian Hospital Acquired Infection Surveillance System Coordinating Centre (VICNISS) (Department of Human Services 2007) (now the Healthcare Associated Infection Surveillance Coordinating Centre), and the Western Australian Safety and Quality Investment for Reform (SQuIRe) Program (Department of Health WA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Department of Health WA 2009. SQuIRe 2 CPI guide: Surgical site infection prevention. Perth: DHWA.</w:t>
            </w:r>
          </w:p>
          <w:p>
            <w:pPr/>
            <w:r>
              <w:rPr>
                <w:rStyle w:val="row-content-rich-text"/>
              </w:rPr>
              <w:t xml:space="preserve">Department of Human Services 2007. Type 2 surveillance manual version 10. Melbourne: Victorian Hospital Acquired Infection Surveillance System Coordinating Centre, DHS.</w:t>
            </w:r>
          </w:p>
        </w:tc>
      </w:tr>
    </w:tbl>
    <w:p>
      <w:r>
        <w:br/>
      </w:r>
    </w:p>
    <w:sectPr>
      <w:footerReference xmlns:r="http://schemas.openxmlformats.org/officeDocument/2006/relationships" w:type="default" r:id="R3a4bf898ec3d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095fa4537b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bf898ec3d43dc" /><Relationship Type="http://schemas.openxmlformats.org/officeDocument/2006/relationships/header" Target="/word/header1.xml" Id="R28ab596c3ca54667" /><Relationship Type="http://schemas.openxmlformats.org/officeDocument/2006/relationships/settings" Target="/word/settings.xml" Id="R3b5b999d8dfb4380" /><Relationship Type="http://schemas.openxmlformats.org/officeDocument/2006/relationships/styles" Target="/word/styles.xml" Id="R8a91e3dd7bac41e3" /><Relationship Type="http://schemas.openxmlformats.org/officeDocument/2006/relationships/hyperlink" Target="https://meteor.aihw.gov.au/RegistrationAuthority/18" TargetMode="External" Id="Rb6f3df06910144d9" /><Relationship Type="http://schemas.openxmlformats.org/officeDocument/2006/relationships/hyperlink" Target="https://meteor.aihw.gov.au/RegistrationAuthority/12" TargetMode="External" Id="R358692132dd440cd" /><Relationship Type="http://schemas.openxmlformats.org/officeDocument/2006/relationships/hyperlink" Target="https://meteor.aihw.gov.au/content/612216" TargetMode="External" Id="Ra7a04901ac2e4a0a" /><Relationship Type="http://schemas.openxmlformats.org/officeDocument/2006/relationships/hyperlink" Target="https://meteor.aihw.gov.au/RegistrationAuthority/18" TargetMode="External" Id="Rf4ca33c599d64c33" /><Relationship Type="http://schemas.openxmlformats.org/officeDocument/2006/relationships/hyperlink" Target="https://meteor.aihw.gov.au/RegistrationAuthority/12" TargetMode="External" Id="R62b0c31cbc924214" /><Relationship Type="http://schemas.openxmlformats.org/officeDocument/2006/relationships/hyperlink" Target="https://meteor.aihw.gov.au/content/624364" TargetMode="External" Id="R968e4f6c82864c93" /><Relationship Type="http://schemas.openxmlformats.org/officeDocument/2006/relationships/hyperlink" Target="https://meteor.aihw.gov.au/RegistrationAuthority/12" TargetMode="External" Id="R8147ceaf13ae455b" /><Relationship Type="http://schemas.openxmlformats.org/officeDocument/2006/relationships/numbering" Target="/word/numbering.xml" Id="Rdbb7c38521a04a89" /></Relationships>
</file>

<file path=word/_rels/header1.xml.rels>&#65279;<?xml version="1.0" encoding="utf-8"?><Relationships xmlns="http://schemas.openxmlformats.org/package/2006/relationships"><Relationship Type="http://schemas.openxmlformats.org/officeDocument/2006/relationships/image" Target="/media/image.png" Id="Raf095fa4537b4525" /></Relationships>
</file>