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4c37175ffe43a8" /></Relationships>
</file>

<file path=word/document.xml><?xml version="1.0" encoding="utf-8"?>
<w:document xmlns:r="http://schemas.openxmlformats.org/officeDocument/2006/relationships" xmlns:w="http://schemas.openxmlformats.org/wordprocessingml/2006/main">
  <w:body>
    <w:p>
      <w:pPr>
        <w:pStyle w:val="Title"/>
      </w:pPr>
      <w:r>
        <w:t>Antimicrobial stewardship: 4b-Antibiotic-allergy mismatch in prescribing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4b-Antibiotic-allergy mismatch in prescribing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4b-Antibiotic-allergy mismatch in prescribing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a90e3b11f4548">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f0a92ecfc5e545c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antibiotic prescriptions that have been classified as causing hypersensitivity for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Preventing adverse outcomes from known allergies and adverse drug reactions to antibiotics can avoid significant harm to patients and reduce potentially avoidable hospitalisation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dfe375c15648b4">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27edc5c9dc114d9b">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e126c5cc1bce440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b81321a6c04ebf">
              <w:r>
                <w:rPr>
                  <w:rStyle w:val="Hyperlink"/>
                </w:rPr>
                <w:t xml:space="preserve">Use of guidelines and clinical condition</w:t>
              </w:r>
            </w:hyperlink>
          </w:p>
          <w:p>
            <w:pPr>
              <w:spacing w:before="0" w:after="0"/>
            </w:pPr>
            <w:r>
              <w:rPr>
                <w:rStyle w:val="row-content"/>
                <w:color w:val="244061"/>
              </w:rPr>
              <w:t xml:space="preserve">       </w:t>
            </w:r>
            <w:hyperlink w:history="true" r:id="R4b67993a09334da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being prescribed an antibiotic that belongs to a therapeutic class that has been documented in the patient's medication chart or medical notes as causing ‘hypersensitivity’ is known as an 'allergy mismatch'.</w:t>
            </w:r>
          </w:p>
          <w:p>
            <w:pPr>
              <w:spacing w:after="160"/>
            </w:pPr>
            <w:r>
              <w:rPr>
                <w:rStyle w:val="row-content-rich-text"/>
              </w:rPr>
              <w:t xml:space="preserve">For the numerator, the following may be documented in the patient's medication chart or medical notes:</w:t>
            </w:r>
          </w:p>
          <w:p>
            <w:pPr>
              <w:pStyle w:val="ListParagraph"/>
              <w:numPr>
                <w:ilvl w:val="0"/>
                <w:numId w:val="2"/>
              </w:numPr>
            </w:pPr>
            <w:r>
              <w:rPr>
                <w:rStyle w:val="row-content-rich-text"/>
              </w:rPr>
              <w:t xml:space="preserve">that there has been 'hypersensitivity' or an 'allergy mismatch'</w:t>
            </w:r>
          </w:p>
          <w:p>
            <w:pPr>
              <w:pStyle w:val="ListParagraph"/>
              <w:numPr>
                <w:ilvl w:val="0"/>
                <w:numId w:val="2"/>
              </w:numPr>
            </w:pPr>
            <w:r>
              <w:rPr>
                <w:rStyle w:val="row-content-rich-text"/>
              </w:rPr>
              <w:t xml:space="preserve">specific reactions, such as urticaria, angioedema, bronchospasm or anaphylaxis; and including common adverse drug reactions, such as rash.</w:t>
            </w:r>
          </w:p>
          <w:p>
            <w:pPr>
              <w:spacing w:after="160"/>
            </w:pPr>
            <w:r>
              <w:rPr>
                <w:rStyle w:val="row-content-rich-text"/>
              </w:rPr>
              <w:t xml:space="preserve">For the numerator, recommendations regarding penicillin hypersensitivity should align with those in </w:t>
            </w:r>
            <w:r>
              <w:rPr>
                <w:rStyle w:val="row-content-rich-text"/>
                <w:i/>
              </w:rPr>
              <w:t xml:space="preserve">Therapeutic guidelines: </w:t>
            </w:r>
            <w:r>
              <w:rPr>
                <w:rStyle w:val="row-content-rich-text"/>
                <w:i/>
              </w:rPr>
              <w:t xml:space="preserve">antibiotic.</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whereby the prescribed antibiotic belongs to a therapeutic class that has been documented in a patient's medication chart or medical notes as causing ‘hypersensitivity’.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These include:</w:t>
            </w:r>
          </w:p>
          <w:p>
            <w:pPr>
              <w:pStyle w:val="ListParagraph"/>
              <w:numPr>
                <w:ilvl w:val="0"/>
                <w:numId w:val="3"/>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3"/>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Antibiotic Expert Group 2014. Therapeutic guidelines: antibiotic. Version 15. Melbourne: Therapeutic Guidelines Limited.</w:t>
            </w:r>
          </w:p>
        </w:tc>
      </w:tr>
    </w:tbl>
    <w:p>
      <w:r>
        <w:br/>
      </w:r>
    </w:p>
    <w:sectPr>
      <w:footerReference xmlns:r="http://schemas.openxmlformats.org/officeDocument/2006/relationships" w:type="default" r:id="R5ad98d3d19a8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1c78098b8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98d3d19a84cb5" /><Relationship Type="http://schemas.openxmlformats.org/officeDocument/2006/relationships/header" Target="/word/header1.xml" Id="Rf625deb1f5d24e3f" /><Relationship Type="http://schemas.openxmlformats.org/officeDocument/2006/relationships/settings" Target="/word/settings.xml" Id="Re99d955cfe0c479b" /><Relationship Type="http://schemas.openxmlformats.org/officeDocument/2006/relationships/styles" Target="/word/styles.xml" Id="Rfc25eb05265e420e" /><Relationship Type="http://schemas.openxmlformats.org/officeDocument/2006/relationships/hyperlink" Target="https://meteor.aihw.gov.au/RegistrationAuthority/18" TargetMode="External" Id="R044a90e3b11f4548" /><Relationship Type="http://schemas.openxmlformats.org/officeDocument/2006/relationships/hyperlink" Target="https://meteor.aihw.gov.au/RegistrationAuthority/12" TargetMode="External" Id="Rf0a92ecfc5e545c1" /><Relationship Type="http://schemas.openxmlformats.org/officeDocument/2006/relationships/hyperlink" Target="https://meteor.aihw.gov.au/content/612216" TargetMode="External" Id="R52dfe375c15648b4" /><Relationship Type="http://schemas.openxmlformats.org/officeDocument/2006/relationships/hyperlink" Target="https://meteor.aihw.gov.au/RegistrationAuthority/18" TargetMode="External" Id="R27edc5c9dc114d9b" /><Relationship Type="http://schemas.openxmlformats.org/officeDocument/2006/relationships/hyperlink" Target="https://meteor.aihw.gov.au/RegistrationAuthority/12" TargetMode="External" Id="Re126c5cc1bce4404" /><Relationship Type="http://schemas.openxmlformats.org/officeDocument/2006/relationships/hyperlink" Target="https://meteor.aihw.gov.au/content/624351" TargetMode="External" Id="R59b81321a6c04ebf" /><Relationship Type="http://schemas.openxmlformats.org/officeDocument/2006/relationships/hyperlink" Target="https://meteor.aihw.gov.au/RegistrationAuthority/12" TargetMode="External" Id="R4b67993a09334da5" /><Relationship Type="http://schemas.openxmlformats.org/officeDocument/2006/relationships/numbering" Target="/word/numbering.xml" Id="Rc725ef9fc9484a50" /></Relationships>
</file>

<file path=word/_rels/header1.xml.rels>&#65279;<?xml version="1.0" encoding="utf-8"?><Relationships xmlns="http://schemas.openxmlformats.org/package/2006/relationships"><Relationship Type="http://schemas.openxmlformats.org/officeDocument/2006/relationships/image" Target="/media/image.png" Id="Rdf51c78098b843e5" /></Relationships>
</file>