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cecbf30e264bb2" /></Relationships>
</file>

<file path=word/document.xml><?xml version="1.0" encoding="utf-8"?>
<w:document xmlns:r="http://schemas.openxmlformats.org/officeDocument/2006/relationships" xmlns:w="http://schemas.openxmlformats.org/wordprocessingml/2006/main">
  <w:body>
    <w:p>
      <w:pPr>
        <w:pStyle w:val="Title"/>
      </w:pPr>
      <w:r>
        <w:t>Acute coronary syndromes: 5a-NSTEACS patients informed of the risks and benefits of coronary angiography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5a-NSTEACS patients informed of the risks and benefits of coronary angiography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5a-NSTEACS patients informed of the risks and benefits of coronary angiography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0d0e0dc9b54118">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For the purposes of the Acute coronary syndromes clinical care standard (ACSQHC 2014), a non-ST-segment-elevation acute coronary syndrome (NSTEACS) is when a myocardial infarction is either short-lived or affects only a small territory of the heart mus..." w:history="true" r:id="R8c04eecf685f42eb">
              <w:r>
                <w:rPr>
                  <w:rStyle w:val="Hyperlink"/>
                  <w:b/>
                </w:rPr>
                <w:t xml:space="preserve">non-ST-segment-elevation acute coronary syndrome (NSTEACS) </w:t>
              </w:r>
            </w:hyperlink>
            <w:r>
              <w:rPr>
                <w:rStyle w:val="row-content-rich-text"/>
              </w:rPr>
              <w:t xml:space="preserve">who, having been assessed as intermediate or high-risk of an </w:t>
            </w:r>
            <w:hyperlink w:tooltip="Any harmful event befalling a patient while in the care of the health system. Such an event may be the result of professional negligence, systems failure, mistakes, fatigue or other causes." w:history="true" r:id="R0d5859d6490247e0">
              <w:r>
                <w:rPr>
                  <w:rStyle w:val="Hyperlink"/>
                  <w:b/>
                </w:rPr>
                <w:t xml:space="preserve">adverse cardiac event </w:t>
              </w:r>
            </w:hyperlink>
            <w:r>
              <w:rPr>
                <w:rStyle w:val="row-content-rich-text"/>
              </w:rPr>
              <w:t xml:space="preserve">using a guideline-recommended tool, are informed of the risks and benefits of coronary angiography.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High-risk patients should be treated aggressively with medical management and arrangements should be made for coronary angiography and revascularisation where appropriate, except in those with severe comorbidities, including general frailty (Acute Coronary Syndrome Guidelines Working Group 2006; AHMAC 2014). Informing patients of the risks and benefits of a procedure ensures that the delivery of care is consumer-centred and aligns with the</w:t>
            </w:r>
            <w:r>
              <w:rPr>
                <w:rStyle w:val="row-content-rich-text"/>
                <w:i/>
              </w:rPr>
              <w:t xml:space="preserve"> Australian Safety and Quality Framework for Health Care</w:t>
            </w:r>
            <w:r>
              <w:rPr>
                <w:rStyle w:val="row-content-rich-text"/>
              </w:rPr>
              <w:t xml:space="preserve"> (ACSQHC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3fdb65b2554b53">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e1fc7024dc234942">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bc6722d66f94d0e">
              <w:r>
                <w:rPr>
                  <w:rStyle w:val="Hyperlink"/>
                </w:rPr>
                <w:t xml:space="preserve">Coronary angiography</w:t>
              </w:r>
            </w:hyperlink>
          </w:p>
          <w:p>
            <w:pPr>
              <w:spacing w:before="0" w:after="0"/>
            </w:pPr>
            <w:r>
              <w:rPr>
                <w:rStyle w:val="row-content"/>
                <w:color w:val="244061"/>
              </w:rPr>
              <w:t xml:space="preserve">       </w:t>
            </w:r>
            <w:hyperlink w:history="true" r:id="Rd31c31bc0dcf45f7">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NSTEACS.</w:t>
            </w:r>
          </w:p>
          <w:p>
            <w:pPr>
              <w:spacing w:after="160"/>
            </w:pPr>
            <w:r>
              <w:rPr>
                <w:rStyle w:val="row-content-rich-text"/>
              </w:rPr>
              <w:t xml:space="preserve">The denominator excludes patients for whom angiography is contraindicated (where the contraindication is documented in their medical record). Contraindications may include advance care directives, being on a palliative care pathway, and clinical judgement, subject to discussion with patients, family and carers.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NSTEACS patients, who, having been assessed as intermediate or high-risk of an adverse cardiac event using a guideline-recommended tool, whose records have documented evidence that they were informed of the risks and benefits of coronary angiography, based upon their clinical situation.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NSTEACS patients assessed as intermediate or high-risk of an adverse cardiac event using a guideline‑recommended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G</w:t>
            </w:r>
            <w:r>
              <w:rPr>
                <w:rStyle w:val="row-content-rich-text"/>
                <w:i/>
              </w:rPr>
              <w:t xml:space="preserve">uidelines for the management of acute coronary syndromes 2006</w:t>
            </w:r>
            <w:r>
              <w:rPr>
                <w:rStyle w:val="row-content-rich-text"/>
              </w:rPr>
              <w:t xml:space="preserve"> (Acute Coronary Syndrome Guidelines Working Group 2006) for features associated with high‑risk, intermediate-risk and low-risk NSTEACS.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Coronary Syndrome Guidelines Working Group 2006. Guidelines for the management of acute coronary syndromes 2006. Medical Journal of Australia 184(8):S1–S30.</w:t>
            </w:r>
          </w:p>
          <w:p>
            <w:pPr>
              <w:spacing w:after="160"/>
            </w:pPr>
            <w:r>
              <w:rPr>
                <w:rStyle w:val="row-content-rich-text"/>
              </w:rPr>
              <w:t xml:space="preserve">ACSQHC (Australian Commission on Safety and Quality in Health Care) 2010. Australian Safety and Quality Framework for Health Care. ACSQHC, Sydney. Viewed May 2014, </w:t>
            </w:r>
            <w:hyperlink w:history="true" r:id="R2e465ba953594b6e">
              <w:r>
                <w:rPr>
                  <w:rStyle w:val="Hyperlink"/>
                </w:rPr>
                <w:t xml:space="preserve">http://www.safetyandquality.gov.au/wp-content/uploads/2012/01/32296-Australian-SandQ-Framework1.pdf</w:t>
              </w:r>
            </w:hyperlink>
            <w:r>
              <w:rPr>
                <w:rStyle w:val="row-content-rich-text"/>
              </w:rPr>
              <w:t xml:space="preserve">.</w:t>
            </w:r>
          </w:p>
          <w:p>
            <w:pPr/>
            <w:r>
              <w:rPr>
                <w:rStyle w:val="row-content-rich-text"/>
              </w:rPr>
              <w:t xml:space="preserve">AHMAC (Australian Health Ministers’ Advisory Council) 2014. Better cardiac care for Aboriginal and Torres Strait Islander people: Post-forum report. Sydney: AHMAC.</w:t>
            </w:r>
          </w:p>
        </w:tc>
      </w:tr>
    </w:tbl>
    <w:p>
      <w:r>
        <w:br/>
      </w:r>
    </w:p>
    <w:sectPr>
      <w:footerReference xmlns:r="http://schemas.openxmlformats.org/officeDocument/2006/relationships" w:type="default" r:id="R268ab0bfd42f46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612081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053ce4a86f49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8ab0bfd42f46ac" /><Relationship Type="http://schemas.openxmlformats.org/officeDocument/2006/relationships/header" Target="/word/header1.xml" Id="R539352e35bf3486c" /><Relationship Type="http://schemas.openxmlformats.org/officeDocument/2006/relationships/settings" Target="/word/settings.xml" Id="R35d3006c34bf479f" /><Relationship Type="http://schemas.openxmlformats.org/officeDocument/2006/relationships/styles" Target="/word/styles.xml" Id="Rf3f78e70fc0c44a7" /><Relationship Type="http://schemas.openxmlformats.org/officeDocument/2006/relationships/hyperlink" Target="https://meteor.aihw.gov.au/RegistrationAuthority/12" TargetMode="External" Id="R310d0e0dc9b54118" /><Relationship Type="http://schemas.openxmlformats.org/officeDocument/2006/relationships/hyperlink" Target="https://meteor.aihw.gov.au/content/629404" TargetMode="External" Id="R8c04eecf685f42eb" /><Relationship Type="http://schemas.openxmlformats.org/officeDocument/2006/relationships/hyperlink" Target="https://meteor.aihw.gov.au/content/570393" TargetMode="External" Id="R0d5859d6490247e0" /><Relationship Type="http://schemas.openxmlformats.org/officeDocument/2006/relationships/hyperlink" Target="https://meteor.aihw.gov.au/content/612027" TargetMode="External" Id="Rec3fdb65b2554b53" /><Relationship Type="http://schemas.openxmlformats.org/officeDocument/2006/relationships/hyperlink" Target="https://meteor.aihw.gov.au/RegistrationAuthority/12" TargetMode="External" Id="Re1fc7024dc234942" /><Relationship Type="http://schemas.openxmlformats.org/officeDocument/2006/relationships/hyperlink" Target="https://meteor.aihw.gov.au/content/624378" TargetMode="External" Id="Rdbc6722d66f94d0e" /><Relationship Type="http://schemas.openxmlformats.org/officeDocument/2006/relationships/hyperlink" Target="https://meteor.aihw.gov.au/RegistrationAuthority/12" TargetMode="External" Id="Rd31c31bc0dcf45f7" /><Relationship Type="http://schemas.openxmlformats.org/officeDocument/2006/relationships/hyperlink" Target="http://www.safetyandquality.gov.au/wp-content/uploads/2012/01/32296-Australian-SandQ-Framework1.pdf" TargetMode="External" Id="R2e465ba953594b6e" /></Relationships>
</file>

<file path=word/_rels/header1.xml.rels>&#65279;<?xml version="1.0" encoding="utf-8"?><Relationships xmlns="http://schemas.openxmlformats.org/package/2006/relationships"><Relationship Type="http://schemas.openxmlformats.org/officeDocument/2006/relationships/image" Target="/media/image.png" Id="R3d053ce4a86f498a" /></Relationships>
</file>