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90e35f42f4408" /></Relationships>
</file>

<file path=word/document.xml><?xml version="1.0" encoding="utf-8"?>
<w:document xmlns:r="http://schemas.openxmlformats.org/officeDocument/2006/relationships" xmlns:w="http://schemas.openxmlformats.org/wordprocessingml/2006/main">
  <w:body>
    <w:p>
      <w:pPr>
        <w:pStyle w:val="Title"/>
      </w:pPr>
      <w:r>
        <w:t>Acute coronary syndromes: 2b-ECG performed within 10 minutes of arrival of ambulance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2b-ECG performed within 10 minutes of arrival of ambulance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2b-ECG performed within 10 minutes of arrival of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9f1570f259477c">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chest pain with a 12-lead electrocardiogram (ECG) performed within 10 minutes of first clinical contact, after arrival of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diagnosis optimises door-to-needle time and time to other interventions. The time taken to record the first ECG is a good index of quality care. The European Society of Cardiology guidelines identify that ECG should be performed within ten minutes or less after the first clinical contact (either on arrival of the patient in the emergency department or at first contact with emergency medical services in the pre-hospital setting) and immediately interpreted by a qualified physician (Steg et al. 2012; Hamm et al.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84d2be1fd04628">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8feed176ad4a46fc">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6f8e20b07ce4276">
              <w:r>
                <w:rPr>
                  <w:rStyle w:val="Hyperlink"/>
                </w:rPr>
                <w:t xml:space="preserve">Early assessment</w:t>
              </w:r>
            </w:hyperlink>
          </w:p>
          <w:p>
            <w:pPr>
              <w:spacing w:before="0" w:after="0"/>
            </w:pPr>
            <w:r>
              <w:rPr>
                <w:rStyle w:val="row-content"/>
                <w:color w:val="244061"/>
              </w:rPr>
              <w:t xml:space="preserve">       </w:t>
            </w:r>
            <w:hyperlink w:history="true" r:id="R19edec92a3914143">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clinical contact’ is defined as the time that emergency medical services personnel arrive at the patient (Fosbol et al. 2013).</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chest pain who receive a 12-lead ECG within 10 minutes of first clinical contact, after arrival of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chest pain attended to by ambulance.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Fosbol EL et al. 2013. The impact of a statewide pre-hospital STEMI strategy to bypass hospitals without percutaneous coronary intervention capability on treatment times. Circulation 127(5):604–612.</w:t>
            </w:r>
          </w:p>
          <w:p>
            <w:pPr>
              <w:spacing w:after="160"/>
            </w:pPr>
            <w:r>
              <w:rPr>
                <w:rStyle w:val="row-content-rich-text"/>
              </w:rPr>
              <w:t xml:space="preserve">Hamm C et al. 2011. ESC Guidelines for the management of acute coronary syndromes in patients presenting without persistent ST-segment-elevation. European Heart Journal 32:2999–3054.</w:t>
            </w:r>
          </w:p>
          <w:p>
            <w:pPr/>
            <w:r>
              <w:rPr>
                <w:rStyle w:val="row-content-rich-text"/>
              </w:rPr>
              <w:t xml:space="preserve">Steg P et al. 2012. ESC Guidelines for the management of acute myocardial infarction in patients presenting with ST-segment-elevation. European Heart Journal 33:2569–2619.</w:t>
            </w:r>
          </w:p>
        </w:tc>
      </w:tr>
    </w:tbl>
    <w:p>
      <w:r>
        <w:br/>
      </w:r>
    </w:p>
    <w:sectPr>
      <w:footerReference xmlns:r="http://schemas.openxmlformats.org/officeDocument/2006/relationships" w:type="default" r:id="Rff5f2c985a32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ebd7a40c04e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5f2c985a324219" /><Relationship Type="http://schemas.openxmlformats.org/officeDocument/2006/relationships/header" Target="/word/header1.xml" Id="Rb698dc8e54b5495d" /><Relationship Type="http://schemas.openxmlformats.org/officeDocument/2006/relationships/settings" Target="/word/settings.xml" Id="R24550f3305194f85" /><Relationship Type="http://schemas.openxmlformats.org/officeDocument/2006/relationships/styles" Target="/word/styles.xml" Id="R587a4fe2896c4f45" /><Relationship Type="http://schemas.openxmlformats.org/officeDocument/2006/relationships/hyperlink" Target="https://meteor.aihw.gov.au/RegistrationAuthority/12" TargetMode="External" Id="R629f1570f259477c" /><Relationship Type="http://schemas.openxmlformats.org/officeDocument/2006/relationships/hyperlink" Target="https://meteor.aihw.gov.au/content/612027" TargetMode="External" Id="Rb184d2be1fd04628" /><Relationship Type="http://schemas.openxmlformats.org/officeDocument/2006/relationships/hyperlink" Target="https://meteor.aihw.gov.au/RegistrationAuthority/12" TargetMode="External" Id="R8feed176ad4a46fc" /><Relationship Type="http://schemas.openxmlformats.org/officeDocument/2006/relationships/hyperlink" Target="https://meteor.aihw.gov.au/content/624368" TargetMode="External" Id="Rc6f8e20b07ce4276" /><Relationship Type="http://schemas.openxmlformats.org/officeDocument/2006/relationships/hyperlink" Target="https://meteor.aihw.gov.au/RegistrationAuthority/12" TargetMode="External" Id="R19edec92a3914143" /></Relationships>
</file>

<file path=word/_rels/header1.xml.rels>&#65279;<?xml version="1.0" encoding="utf-8"?><Relationships xmlns="http://schemas.openxmlformats.org/package/2006/relationships"><Relationship Type="http://schemas.openxmlformats.org/officeDocument/2006/relationships/image" Target="/media/image.png" Id="Rba3ebd7a40c04e6b" /></Relationships>
</file>