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8843df8f98f8434c" /></Relationships>
</file>

<file path=word/document.xml><?xml version="1.0" encoding="utf-8"?>
<w:document xmlns:r="http://schemas.openxmlformats.org/officeDocument/2006/relationships" xmlns:w="http://schemas.openxmlformats.org/wordprocessingml/2006/main">
  <w:body>
    <w:p>
      <w:pPr>
        <w:pStyle w:val="Title"/>
      </w:pPr>
      <w:r>
        <w:t>3.3 Estimated annual number of lumbar spine surgery admissions to hospital per 100,000 people aged 18 years and over, 2010-11 to 2012-13</w:t>
      </w:r>
    </w:p>
    <w:p>
      <w:pPr>
        <w:pStyle w:val="Subtitle"/>
      </w:pPr>
      <w:r>
        <w:t>Exported from METEOR</w:t>
      </w:r>
    </w:p>
    <w:p>
      <w:pPr>
        <w:pStyle w:val="Subtitle"/>
        <w:spacing w:after="34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​3.3 Estimated annual number of lumbar spine surgery admissions to hospital per 100,000 people aged 18 years and over, 2010-11 to 2012-13</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Lumbar spine surgery hospital admissions 18 years and over, 2010-11 to 2012-13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611791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69495e2215145b1">
              <w:r>
                <w:rPr>
                  <w:rStyle w:val="Hyperlink"/>
                  <w:color w:val="244061"/>
                </w:rPr>
                <w:t xml:space="preserve">National Health Performance Authority (retired)</w:t>
              </w:r>
            </w:hyperlink>
            <w:r>
              <w:rPr>
                <w:rStyle w:val="row-content"/>
                <w:color w:val="244061"/>
              </w:rPr>
              <w:t xml:space="preserve">, Retired 01/07/2016</w:t>
            </w:r>
          </w:p>
          <w:p>
            <w:pPr>
              <w:spacing w:before="0" w:after="0"/>
            </w:pPr>
            <w:hyperlink w:history="true" r:id="Rb9a8b23c35374750">
              <w:r>
                <w:rPr>
                  <w:rStyle w:val="Hyperlink"/>
                  <w:color w:val="244061"/>
                </w:rPr>
                <w:t xml:space="preserve">Australian Commission on Safety and Quality in Health Care</w:t>
              </w:r>
            </w:hyperlink>
            <w:r>
              <w:rPr>
                <w:rStyle w:val="row-content"/>
                <w:color w:val="244061"/>
              </w:rPr>
              <w:t xml:space="preserve">, Standard 23/11/2016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estimated annual number of lumbar spine surgery admissions to hospital per 100,000 people aged 18 years and over, age standardised. Data are disaggregated by the area in which the person lives.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5f56d663ff444ab5">
              <w:r>
                <w:rPr>
                  <w:rStyle w:val="Hyperlink"/>
                </w:rPr>
                <w:t xml:space="preserve">Australian Atlas of Healthcare Variation </w:t>
              </w:r>
            </w:hyperlink>
          </w:p>
          <w:p>
            <w:pPr>
              <w:pStyle w:val="registration-status"/>
              <w:spacing w:before="0" w:after="0"/>
            </w:pPr>
            <w:hyperlink w:history="true" r:id="R7d98c15e5d15469e">
              <w:r>
                <w:rPr>
                  <w:rStyle w:val="Hyperlink"/>
                  <w:color w:val="244061"/>
                </w:rPr>
                <w:t xml:space="preserve">Australian Commission on Safety and Quality in Health Care</w:t>
              </w:r>
            </w:hyperlink>
            <w:r>
              <w:rPr>
                <w:rStyle w:val="row-content"/>
                <w:color w:val="244061"/>
              </w:rPr>
              <w:t xml:space="preserve">, Standard 23/11/2016</w:t>
            </w:r>
          </w:p>
          <w:p>
            <w:pPr>
              <w:pStyle w:val="registration-status"/>
              <w:spacing w:before="0" w:after="0"/>
            </w:pPr>
            <w:hyperlink w:history="true" r:id="R5a469666262d4ece">
              <w:r>
                <w:rPr>
                  <w:rStyle w:val="Hyperlink"/>
                  <w:color w:val="244061"/>
                </w:rPr>
                <w:t xml:space="preserve">National Health Performance Authority (retired)</w:t>
              </w:r>
            </w:hyperlink>
            <w:r>
              <w:rPr>
                <w:rStyle w:val="row-content"/>
                <w:color w:val="244061"/>
              </w:rPr>
              <w:t xml:space="preserve">, Retired 01/07/2016</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18 years and over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 </w:t>
            </w:r>
          </w:p>
          <w:p>
            <w:pPr>
              <w:spacing w:after="160"/>
            </w:pPr>
            <w:r>
              <w:rPr>
                <w:rStyle w:val="row-content-rich-text"/>
              </w:rPr>
              <w:t xml:space="preserve">Presented as an estimated annual number per 100,000 people, age standardised, by Statistical Area Level 3.</w:t>
            </w:r>
          </w:p>
          <w:p>
            <w:pPr>
              <w:spacing w:after="160"/>
            </w:pPr>
            <w:r>
              <w:rPr>
                <w:rStyle w:val="row-content-rich-text"/>
              </w:rPr>
              <w:t xml:space="preserve">Analysis by Statistical Area Level 3 (SA3) is based on postcode of usual residence of the patient. The postcode is that which is provided by the patient to the hospital at which they are admitted.</w:t>
            </w:r>
          </w:p>
          <w:p>
            <w:pPr>
              <w:spacing w:after="160"/>
            </w:pPr>
            <w:r>
              <w:rPr>
                <w:rStyle w:val="row-content-rich-text"/>
              </w:rPr>
              <w:t xml:space="preserve">SA3s where the total population was less than 2,500 or where the population of people aged 18 years and over was less than 200 are excluded from analysis.</w:t>
            </w:r>
          </w:p>
          <w:p>
            <w:pPr>
              <w:spacing w:after="160"/>
            </w:pPr>
            <w:r>
              <w:rPr>
                <w:rStyle w:val="row-content-rich-text"/>
              </w:rPr>
              <w:t xml:space="preserve">Suppression protocol for calculating age standardised rates:</w:t>
            </w:r>
          </w:p>
          <w:p>
            <w:pPr>
              <w:spacing w:after="160"/>
            </w:pPr>
            <w:r>
              <w:rPr>
                <w:rStyle w:val="row-content-rich-text"/>
              </w:rPr>
              <w:t xml:space="preserve"> </w:t>
            </w:r>
          </w:p>
          <w:tbl>
            <w:tblPr>
              <w:tblStyle w:val="TableGrid"/>
              <w:tblW w:w="5000" w:type="pct"/>
              <w:tblLayout w:type="autofit"/>
            </w:tblPr>
            <w:tblGrid>
              <w:gridCol/>
              <w:gridCol/>
            </w:tblGrid>
            <w:tr>
              <w:trPr/>
              <w:tc>
                <w:tcPr>
                  <w:tcW w:w="1000" w:type="pct"/>
                  <w:vAlign w:val="top"/>
                </w:tcPr>
                <w:p>
                  <w:pPr/>
                  <w:r>
                    <w:rPr>
                      <w:rStyle w:val="row-content-rich-text"/>
                    </w:rPr>
                    <w:t xml:space="preserve">Numerator</w:t>
                  </w:r>
                </w:p>
              </w:tc>
              <w:tc>
                <w:tcPr>
                  <w:tcW w:w="4000" w:type="pct"/>
                  <w:vAlign w:val="top"/>
                </w:tcPr>
                <w:p>
                  <w:r>
                    <w:t xml:space="preserve">Total number of admissions over three years less than 10  (unrounded)</w:t>
                  </w:r>
                </w:p>
              </w:tc>
            </w:tr>
            <w:tr>
              <w:trPr/>
              <w:tc>
                <w:tcPr>
                  <w:tcW w:w="1000" w:type="pct"/>
                  <w:vAlign w:val="top"/>
                </w:tcPr>
                <w:p>
                  <w:r>
                    <w:t xml:space="preserve">Denominator</w:t>
                  </w:r>
                </w:p>
              </w:tc>
              <w:tc>
                <w:tcPr>
                  <w:tcW w:w="4000" w:type="pct"/>
                  <w:vAlign w:val="top"/>
                </w:tcPr>
                <w:p>
                  <w:r>
                    <w:t xml:space="preserve">The average annual ERP for one or more age groups less than 30</w:t>
                  </w:r>
                </w:p>
              </w:tc>
            </w:tr>
          </w:tbl>
          <w:p>
            <w:r>
              <w:t xml:space="preserve">The following age groups were used for calculating age standardised rates: 18-24, 25-29, 30-34, 35-39.....85+.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Estimated annual number of admissions per year, over the three years 2010-11 to 2012-13</w:t>
            </w:r>
          </w:p>
          <w:p>
            <w:pPr>
              <w:spacing w:after="160"/>
            </w:pPr>
            <w:r>
              <w:rPr>
                <w:rStyle w:val="row-content-rich-text"/>
              </w:rPr>
              <w:t xml:space="preserve">100,000 x (Numerator ÷ Denominator), age standardised</w:t>
            </w:r>
          </w:p>
          <w:p>
            <w:pPr>
              <w:spacing w:after="160"/>
            </w:pPr>
            <w:r>
              <w:rPr>
                <w:rStyle w:val="row-content-rich-text"/>
              </w:rPr>
              <w:t xml:space="preserve">For more information about age-standardisation see</w:t>
            </w:r>
          </w:p>
          <w:p>
            <w:hyperlink w:history="true" r:id="Rebe19dcb875d4447">
              <w:r>
                <w:rPr>
                  <w:rStyle w:val="Hyperlink"/>
                </w:rPr>
                <w:t xml:space="preserve">/content/index.phtml/itemId/327276</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The estimated annual number of lumbar spine surgery admissions to hospital for people aged 18 years and over in 2011-12 to 2012-13.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e3e871e758694adb">
              <w:r>
                <w:rPr>
                  <w:rStyle w:val="Hyperlink"/>
                </w:rPr>
                <w:t xml:space="preserve">Person—date of birth, DDMMYYYY</w:t>
              </w:r>
            </w:hyperlink>
          </w:p>
          <w:p>
            <w:r>
              <w:rPr>
                <w:rStyle w:val="row-content"/>
                <w:b/>
              </w:rPr>
              <w:t xml:space="preserve">Guide for use</w:t>
            </w:r>
          </w:p>
          <w:p>
            <w:r>
              <w:rPr>
                <w:rStyle w:val="row-content"/>
              </w:rPr>
              <w:t xml:space="preserve">People aged 18 years and over in 2010-13 who were admitted to hospital for lumbar spine surgery were included in the analysis of this item.</w:t>
            </w:r>
          </w:p>
          <w:p>
            <w:r>
              <w:rPr>
                <w:rStyle w:val="row-content"/>
              </w:rPr>
              <w:t xml:space="preserve"> </w:t>
            </w:r>
          </w:p>
          <w:p>
            <w:r>
              <w:rPr>
                <w:rStyle w:val="row-content"/>
                <w:b/>
                <w:color w:val="000000"/>
              </w:rPr>
              <w:t xml:space="preserve">Data Element / Data Set</w:t>
            </w:r>
          </w:p>
          <w:p>
            <w:hyperlink w:history="true" r:id="R94dd6f3a24b44bd3">
              <w:r>
                <w:rPr>
                  <w:rStyle w:val="Hyperlink"/>
                </w:rPr>
                <w:t xml:space="preserve">Episode of care—principal diagnosis, code (ICD-10-AM 7th edn) ANN{.N[N]}</w:t>
              </w:r>
            </w:hyperlink>
          </w:p>
          <w:p>
            <w:r>
              <w:rPr>
                <w:rStyle w:val="row-content"/>
                <w:b/>
              </w:rPr>
              <w:t xml:space="preserve">Data Source</w:t>
            </w:r>
          </w:p>
          <w:p>
            <w:hyperlink w:history="true" r:id="Rf4490b010d9e40f3">
              <w:r>
                <w:rPr>
                  <w:rStyle w:val="Hyperlink"/>
                </w:rPr>
                <w:t xml:space="preserve">National Hospital Morbidity Database (NHMD)</w:t>
              </w:r>
            </w:hyperlink>
          </w:p>
          <w:p>
            <w:r>
              <w:rPr>
                <w:rStyle w:val="row-content"/>
                <w:b/>
              </w:rPr>
              <w:t xml:space="preserve">Guide for use</w:t>
            </w:r>
          </w:p>
          <w:p>
            <w:r>
              <w:rPr>
                <w:rStyle w:val="row-content"/>
              </w:rPr>
              <w:t xml:space="preserve">Inclusion codes and description.</w:t>
            </w:r>
          </w:p>
          <w:p>
            <w:r>
              <w:rPr>
                <w:rStyle w:val="row-content"/>
              </w:rPr>
              <w:t xml:space="preserve"> </w:t>
            </w:r>
          </w:p>
          <w:tbl>
            <w:tblPr>
              <w:tblStyle w:val="TableGrid"/>
              <w:tblW w:w="5000" w:type="pct"/>
              <w:tblLayout w:type="autofit"/>
            </w:tblPr>
            <w:tblGrid>
              <w:gridCol/>
              <w:gridCol/>
            </w:tblGrid>
            <w:tr>
              <w:trPr/>
              <w:tc>
                <w:tcPr>
                  <w:tcW w:w="1000" w:type="pct"/>
                  <w:vAlign w:val="top"/>
                </w:tcPr>
                <w:p>
                  <w:r>
                    <w:rPr>
                      <w:rStyle w:val="row-content"/>
                    </w:rPr>
                    <w:t xml:space="preserve"> </w:t>
                  </w:r>
                  <w:r>
                    <w:rPr>
                      <w:rStyle w:val="row-content"/>
                      <w:b/>
                    </w:rPr>
                    <w:t xml:space="preserve">ICD-10-AM (7th edn) code</w:t>
                  </w:r>
                </w:p>
              </w:tc>
              <w:tc>
                <w:tcPr>
                  <w:tcW w:w="4000" w:type="pct"/>
                  <w:vAlign w:val="top"/>
                </w:tcPr>
                <w:p>
                  <w:r>
                    <w:rPr>
                      <w:b/>
                    </w:rPr>
                    <w:t xml:space="preserve">Description</w:t>
                  </w:r>
                </w:p>
              </w:tc>
            </w:tr>
            <w:tr>
              <w:trPr/>
              <w:tc>
                <w:tcPr>
                  <w:tcW w:w="1000" w:type="pct"/>
                  <w:vAlign w:val="top"/>
                </w:tcPr>
                <w:p>
                  <w:r>
                    <w:t xml:space="preserve">M43.16</w:t>
                  </w:r>
                </w:p>
              </w:tc>
              <w:tc>
                <w:tcPr>
                  <w:tcW w:w="4000" w:type="pct"/>
                  <w:vAlign w:val="top"/>
                </w:tcPr>
                <w:p>
                  <w:r>
                    <w:t xml:space="preserve">Spondylolisthesis, lumbar</w:t>
                  </w:r>
                </w:p>
              </w:tc>
            </w:tr>
            <w:tr>
              <w:trPr/>
              <w:tc>
                <w:tcPr>
                  <w:tcW w:w="1000" w:type="pct"/>
                  <w:vAlign w:val="top"/>
                </w:tcPr>
                <w:p>
                  <w:r>
                    <w:t xml:space="preserve">M43.17</w:t>
                  </w:r>
                </w:p>
              </w:tc>
              <w:tc>
                <w:tcPr>
                  <w:tcW w:w="4000" w:type="pct"/>
                  <w:vAlign w:val="top"/>
                </w:tcPr>
                <w:p>
                  <w:r>
                    <w:t xml:space="preserve">Spondylolisthesis, lumbosacral</w:t>
                  </w:r>
                </w:p>
              </w:tc>
            </w:tr>
            <w:tr>
              <w:trPr/>
              <w:tc>
                <w:tcPr>
                  <w:tcW w:w="1000" w:type="pct"/>
                  <w:vAlign w:val="top"/>
                </w:tcPr>
                <w:p>
                  <w:r>
                    <w:t xml:space="preserve">M48.06</w:t>
                  </w:r>
                </w:p>
              </w:tc>
              <w:tc>
                <w:tcPr>
                  <w:tcW w:w="4000" w:type="pct"/>
                  <w:vAlign w:val="top"/>
                </w:tcPr>
                <w:p>
                  <w:r>
                    <w:t xml:space="preserve">Spinal stenosis, lumbar</w:t>
                  </w:r>
                </w:p>
              </w:tc>
            </w:tr>
            <w:tr>
              <w:trPr/>
              <w:tc>
                <w:tcPr>
                  <w:tcW w:w="1000" w:type="pct"/>
                  <w:vAlign w:val="top"/>
                </w:tcPr>
                <w:p>
                  <w:r>
                    <w:t xml:space="preserve">M48.07</w:t>
                  </w:r>
                </w:p>
              </w:tc>
              <w:tc>
                <w:tcPr>
                  <w:tcW w:w="4000" w:type="pct"/>
                  <w:vAlign w:val="top"/>
                </w:tcPr>
                <w:p>
                  <w:r>
                    <w:t xml:space="preserve">Spinal stenosis, lumbosacral</w:t>
                  </w:r>
                </w:p>
              </w:tc>
            </w:tr>
            <w:tr>
              <w:trPr/>
              <w:tc>
                <w:tcPr>
                  <w:tcW w:w="1000" w:type="pct"/>
                  <w:vAlign w:val="top"/>
                </w:tcPr>
                <w:p>
                  <w:r>
                    <w:t xml:space="preserve">M51.0</w:t>
                  </w:r>
                </w:p>
              </w:tc>
              <w:tc>
                <w:tcPr>
                  <w:tcW w:w="4000" w:type="pct"/>
                  <w:vAlign w:val="top"/>
                </w:tcPr>
                <w:p>
                  <w:r>
                    <w:t xml:space="preserve">Lumbar and other intervertebral disc disorders with myelopathy</w:t>
                  </w:r>
                </w:p>
              </w:tc>
            </w:tr>
            <w:tr>
              <w:trPr/>
              <w:tc>
                <w:tcPr>
                  <w:tcW w:w="1000" w:type="pct"/>
                  <w:vAlign w:val="top"/>
                </w:tcPr>
                <w:p>
                  <w:r>
                    <w:t xml:space="preserve">M51.1</w:t>
                  </w:r>
                </w:p>
              </w:tc>
              <w:tc>
                <w:tcPr>
                  <w:tcW w:w="4000" w:type="pct"/>
                  <w:vAlign w:val="top"/>
                </w:tcPr>
                <w:p>
                  <w:r>
                    <w:t xml:space="preserve">Lumbar and other intervertebral disc disorders with radiculopathy</w:t>
                  </w:r>
                </w:p>
              </w:tc>
            </w:tr>
            <w:tr>
              <w:trPr/>
              <w:tc>
                <w:tcPr>
                  <w:tcW w:w="1000" w:type="pct"/>
                  <w:vAlign w:val="top"/>
                </w:tcPr>
                <w:p>
                  <w:r>
                    <w:t xml:space="preserve">M51.2</w:t>
                  </w:r>
                </w:p>
              </w:tc>
              <w:tc>
                <w:tcPr>
                  <w:tcW w:w="4000" w:type="pct"/>
                  <w:vAlign w:val="top"/>
                </w:tcPr>
                <w:p>
                  <w:r>
                    <w:t xml:space="preserve">Other specified intervertebral disc displacement. Lumbago due to displacement of intervertebral disc.</w:t>
                  </w:r>
                </w:p>
              </w:tc>
            </w:tr>
            <w:tr>
              <w:trPr/>
              <w:tc>
                <w:tcPr>
                  <w:tcW w:w="1000" w:type="pct"/>
                  <w:vAlign w:val="top"/>
                </w:tcPr>
                <w:p>
                  <w:r>
                    <w:t xml:space="preserve">M54.16</w:t>
                  </w:r>
                </w:p>
              </w:tc>
              <w:tc>
                <w:tcPr>
                  <w:tcW w:w="4000" w:type="pct"/>
                  <w:vAlign w:val="top"/>
                </w:tcPr>
                <w:p>
                  <w:r>
                    <w:t xml:space="preserve">Radiculopathy Lumbar region</w:t>
                  </w:r>
                </w:p>
              </w:tc>
            </w:tr>
            <w:tr>
              <w:trPr/>
              <w:tc>
                <w:tcPr>
                  <w:tcW w:w="1000" w:type="pct"/>
                  <w:vAlign w:val="top"/>
                </w:tcPr>
                <w:p>
                  <w:r>
                    <w:t xml:space="preserve">M54.17</w:t>
                  </w:r>
                </w:p>
              </w:tc>
              <w:tc>
                <w:tcPr>
                  <w:tcW w:w="4000" w:type="pct"/>
                  <w:vAlign w:val="top"/>
                </w:tcPr>
                <w:p>
                  <w:r>
                    <w:t xml:space="preserve">Radiculopathy Lumbosacral region</w:t>
                  </w:r>
                </w:p>
              </w:tc>
            </w:tr>
            <w:tr>
              <w:trPr/>
              <w:tc>
                <w:tcPr>
                  <w:tcW w:w="1000" w:type="pct"/>
                  <w:vAlign w:val="top"/>
                </w:tcPr>
                <w:p>
                  <w:r>
                    <w:t xml:space="preserve">M54.4</w:t>
                  </w:r>
                </w:p>
              </w:tc>
              <w:tc>
                <w:tcPr>
                  <w:tcW w:w="4000" w:type="pct"/>
                  <w:vAlign w:val="top"/>
                </w:tcPr>
                <w:p>
                  <w:r>
                    <w:t xml:space="preserve">Lumbago with Sciatica</w:t>
                  </w:r>
                </w:p>
              </w:tc>
            </w:tr>
            <w:tr>
              <w:trPr/>
              <w:tc>
                <w:tcPr>
                  <w:tcW w:w="1000" w:type="pct"/>
                  <w:vAlign w:val="top"/>
                </w:tcPr>
                <w:p>
                  <w:r>
                    <w:t xml:space="preserve">M54.5</w:t>
                  </w:r>
                </w:p>
              </w:tc>
              <w:tc>
                <w:tcPr>
                  <w:tcW w:w="4000" w:type="pct"/>
                  <w:vAlign w:val="top"/>
                </w:tcPr>
                <w:p>
                  <w:r>
                    <w:t xml:space="preserve">Low back pain</w:t>
                  </w:r>
                </w:p>
              </w:tc>
            </w:tr>
            <w:tr>
              <w:trPr/>
              <w:tc>
                <w:tcPr>
                  <w:tcW w:w="1000" w:type="pct"/>
                  <w:vAlign w:val="top"/>
                </w:tcPr>
                <w:p>
                  <w:r>
                    <w:t xml:space="preserve">M54.86</w:t>
                  </w:r>
                </w:p>
              </w:tc>
              <w:tc>
                <w:tcPr>
                  <w:tcW w:w="4000" w:type="pct"/>
                  <w:vAlign w:val="top"/>
                </w:tcPr>
                <w:p>
                  <w:r>
                    <w:t xml:space="preserve">Other dorsalgia Lumbar region</w:t>
                  </w:r>
                </w:p>
              </w:tc>
            </w:tr>
            <w:tr>
              <w:trPr/>
              <w:tc>
                <w:tcPr>
                  <w:tcW w:w="1000" w:type="pct"/>
                  <w:vAlign w:val="top"/>
                </w:tcPr>
                <w:p>
                  <w:r>
                    <w:t xml:space="preserve">M54.87</w:t>
                  </w:r>
                </w:p>
              </w:tc>
              <w:tc>
                <w:tcPr>
                  <w:tcW w:w="4000" w:type="pct"/>
                  <w:vAlign w:val="top"/>
                </w:tcPr>
                <w:p>
                  <w:r>
                    <w:t xml:space="preserve">Other dorsalgia Lumbosacral region</w:t>
                  </w:r>
                </w:p>
              </w:tc>
            </w:tr>
            <w:tr>
              <w:trPr/>
              <w:tc>
                <w:tcPr>
                  <w:tcW w:w="1000" w:type="pct"/>
                  <w:vAlign w:val="top"/>
                </w:tcPr>
                <w:p>
                  <w:r>
                    <w:t xml:space="preserve">M54.96</w:t>
                  </w:r>
                </w:p>
              </w:tc>
              <w:tc>
                <w:tcPr>
                  <w:tcW w:w="4000" w:type="pct"/>
                  <w:vAlign w:val="top"/>
                </w:tcPr>
                <w:p>
                  <w:r>
                    <w:t xml:space="preserve">Dorsalgia unspecified Lumbar region</w:t>
                  </w:r>
                </w:p>
              </w:tc>
            </w:tr>
            <w:tr>
              <w:trPr/>
              <w:tc>
                <w:tcPr>
                  <w:tcW w:w="1000" w:type="pct"/>
                  <w:vAlign w:val="top"/>
                </w:tcPr>
                <w:p>
                  <w:r>
                    <w:t xml:space="preserve">M54.97</w:t>
                  </w:r>
                </w:p>
              </w:tc>
              <w:tc>
                <w:tcPr>
                  <w:tcW w:w="4000" w:type="pct"/>
                  <w:vAlign w:val="top"/>
                </w:tcPr>
                <w:p>
                  <w:r>
                    <w:t xml:space="preserve">Dorsalgia unspecified Lumbosacral region</w:t>
                  </w:r>
                </w:p>
              </w:tc>
            </w:tr>
          </w:tbl>
          <w:p>
            <w:r>
              <w:t xml:space="preserve">Exclusion codes and description</w:t>
            </w:r>
          </w:p>
          <w:tbl>
            <w:tblPr>
              <w:tblStyle w:val="TableGrid"/>
              <w:tblW w:w="5000" w:type="pct"/>
              <w:tblLayout w:type="autofit"/>
            </w:tblPr>
            <w:tblGrid>
              <w:gridCol/>
              <w:gridCol/>
            </w:tblGrid>
            <w:tr>
              <w:trPr/>
              <w:tc>
                <w:tcPr>
                  <w:tcW w:w="3550" w:type="pct"/>
                  <w:vAlign w:val="top"/>
                </w:tcPr>
                <w:p>
                  <w:r>
                    <w:t xml:space="preserve"> </w:t>
                  </w:r>
                  <w:r>
                    <w:rPr>
                      <w:b/>
                    </w:rPr>
                    <w:t xml:space="preserve">ICD-10-AM (7th edn) code </w:t>
                  </w:r>
                </w:p>
              </w:tc>
              <w:tc>
                <w:tcPr>
                  <w:tcW w:w="1400" w:type="pct"/>
                  <w:vAlign w:val="top"/>
                </w:tcPr>
                <w:p>
                  <w:r>
                    <w:rPr>
                      <w:b/>
                    </w:rPr>
                    <w:t xml:space="preserve">Description</w:t>
                  </w:r>
                </w:p>
              </w:tc>
            </w:tr>
            <w:tr>
              <w:trPr/>
              <w:tc>
                <w:tcPr>
                  <w:tcW w:w="3550" w:type="pct"/>
                  <w:vAlign w:val="top"/>
                </w:tcPr>
                <w:p>
                  <w:r>
                    <w:t xml:space="preserve">Principal and additional diagnosis codes</w:t>
                  </w:r>
                </w:p>
                <w:p>
                  <w:r>
                    <w:t xml:space="preserve">V00 to Y89</w:t>
                  </w:r>
                </w:p>
              </w:tc>
              <w:tc>
                <w:tcPr>
                  <w:tcW w:w="1400" w:type="pct"/>
                  <w:vAlign w:val="top"/>
                </w:tcPr>
                <w:p>
                  <w:r>
                    <w:br/>
                  </w:r>
                  <w:r>
                    <w:t xml:space="preserve">External cause codes</w:t>
                  </w:r>
                </w:p>
              </w:tc>
            </w:tr>
          </w:tbl>
          <w:p>
            <w:r>
              <w:t xml:space="preserve"> </w:t>
            </w:r>
          </w:p>
          <w:p>
            <w:r>
              <w:t xml:space="preserve">Data source type: Administrative by-product data</w:t>
            </w:r>
          </w:p>
          <w:p>
            <w:r>
              <w:t xml:space="preserve"> </w:t>
            </w:r>
          </w:p>
          <w:p>
            <w:r>
              <w:rPr>
                <w:b/>
                <w:color w:val="000000"/>
              </w:rPr>
              <w:t xml:space="preserve">Data Element / Data Set</w:t>
            </w:r>
          </w:p>
          <w:p>
            <w:hyperlink w:history="true" r:id="R1dd4e25dccc345a5">
              <w:r>
                <w:rPr>
                  <w:rStyle w:val="Hyperlink"/>
                </w:rPr>
                <w:t xml:space="preserve">Episode of admitted patient care—procedure, code (ACHI 7th edn) NNNNN-NN</w:t>
              </w:r>
            </w:hyperlink>
          </w:p>
          <w:p>
            <w:r>
              <w:rPr>
                <w:b/>
              </w:rPr>
              <w:t xml:space="preserve">Guide for use</w:t>
            </w:r>
          </w:p>
          <w:p>
            <w:r>
              <w:t xml:space="preserve">Inclusion codes and description.</w:t>
            </w:r>
          </w:p>
          <w:p>
            <w:r>
              <w:t xml:space="preserve"> </w:t>
            </w:r>
          </w:p>
          <w:tbl>
            <w:tblPr>
              <w:tblStyle w:val="TableGrid"/>
              <w:tblW w:w="5000" w:type="pct"/>
              <w:tblLayout w:type="autofit"/>
            </w:tblPr>
            <w:tblGrid>
              <w:gridCol/>
              <w:gridCol/>
            </w:tblGrid>
            <w:tr>
              <w:trPr/>
              <w:tc>
                <w:tcPr>
                  <w:tcW w:w="1550" w:type="pct"/>
                  <w:vAlign w:val="top"/>
                </w:tcPr>
                <w:p>
                  <w:r>
                    <w:t xml:space="preserve"> </w:t>
                  </w:r>
                  <w:r>
                    <w:rPr>
                      <w:b/>
                    </w:rPr>
                    <w:t xml:space="preserve">ACHI (7th edn) code</w:t>
                  </w:r>
                </w:p>
              </w:tc>
              <w:tc>
                <w:tcPr>
                  <w:tcW w:w="3400" w:type="pct"/>
                  <w:vAlign w:val="top"/>
                </w:tcPr>
                <w:p>
                  <w:r>
                    <w:rPr>
                      <w:b/>
                    </w:rPr>
                    <w:t xml:space="preserve">Description</w:t>
                  </w:r>
                </w:p>
              </w:tc>
            </w:tr>
            <w:tr>
              <w:trPr/>
              <w:tc>
                <w:tcPr>
                  <w:tcW w:w="1550" w:type="pct"/>
                  <w:vAlign w:val="top"/>
                </w:tcPr>
                <w:p>
                  <w:r>
                    <w:t xml:space="preserve">Block 1389</w:t>
                  </w:r>
                </w:p>
              </w:tc>
              <w:tc>
                <w:tcPr>
                  <w:tcW w:w="3400" w:type="pct"/>
                  <w:vAlign w:val="top"/>
                </w:tcPr>
                <w:p>
                  <w:r>
                    <w:t xml:space="preserve">Spinal fusion (all codes in this block)</w:t>
                  </w:r>
                </w:p>
              </w:tc>
            </w:tr>
            <w:tr>
              <w:trPr/>
              <w:tc>
                <w:tcPr>
                  <w:tcW w:w="1550" w:type="pct"/>
                  <w:vAlign w:val="top"/>
                </w:tcPr>
                <w:p>
                  <w:r>
                    <w:t xml:space="preserve">48636-00 [52]</w:t>
                  </w:r>
                </w:p>
              </w:tc>
              <w:tc>
                <w:tcPr>
                  <w:tcW w:w="3400" w:type="pct"/>
                  <w:vAlign w:val="top"/>
                </w:tcPr>
                <w:p>
                  <w:r>
                    <w:t xml:space="preserve">Percutaneous lumbar discectomy</w:t>
                  </w:r>
                </w:p>
              </w:tc>
            </w:tr>
            <w:tr>
              <w:trPr/>
              <w:tc>
                <w:tcPr>
                  <w:tcW w:w="1550" w:type="pct"/>
                  <w:vAlign w:val="top"/>
                </w:tcPr>
                <w:p>
                  <w:r>
                    <w:t xml:space="preserve">40300-00 [52]</w:t>
                  </w:r>
                </w:p>
              </w:tc>
              <w:tc>
                <w:tcPr>
                  <w:tcW w:w="3400" w:type="pct"/>
                  <w:vAlign w:val="top"/>
                </w:tcPr>
                <w:p>
                  <w:r>
                    <w:t xml:space="preserve">Discectomy, 1 level</w:t>
                  </w:r>
                </w:p>
              </w:tc>
            </w:tr>
            <w:tr>
              <w:trPr/>
              <w:tc>
                <w:tcPr>
                  <w:tcW w:w="1550" w:type="pct"/>
                  <w:vAlign w:val="top"/>
                </w:tcPr>
                <w:p>
                  <w:r>
                    <w:t xml:space="preserve">40300-01 [52]</w:t>
                  </w:r>
                </w:p>
              </w:tc>
              <w:tc>
                <w:tcPr>
                  <w:tcW w:w="3400" w:type="pct"/>
                  <w:vAlign w:val="top"/>
                </w:tcPr>
                <w:p>
                  <w:r>
                    <w:t xml:space="preserve">Discectomy,  2 levels</w:t>
                  </w:r>
                </w:p>
              </w:tc>
            </w:tr>
            <w:tr>
              <w:trPr/>
              <w:tc>
                <w:tcPr>
                  <w:tcW w:w="1550" w:type="pct"/>
                  <w:vAlign w:val="top"/>
                </w:tcPr>
                <w:p>
                  <w:r>
                    <w:t xml:space="preserve">90024-00 [48]</w:t>
                  </w:r>
                </w:p>
              </w:tc>
              <w:tc>
                <w:tcPr>
                  <w:tcW w:w="3400" w:type="pct"/>
                  <w:vAlign w:val="top"/>
                </w:tcPr>
                <w:p>
                  <w:r>
                    <w:t xml:space="preserve">Decompression of lumbar spinal canal, 1 level</w:t>
                  </w:r>
                </w:p>
              </w:tc>
            </w:tr>
            <w:tr>
              <w:trPr/>
              <w:tc>
                <w:tcPr>
                  <w:tcW w:w="1550" w:type="pct"/>
                  <w:vAlign w:val="top"/>
                </w:tcPr>
                <w:p>
                  <w:r>
                    <w:t xml:space="preserve">90024-01 [48]</w:t>
                  </w:r>
                </w:p>
              </w:tc>
              <w:tc>
                <w:tcPr>
                  <w:tcW w:w="3400" w:type="pct"/>
                  <w:vAlign w:val="top"/>
                </w:tcPr>
                <w:p>
                  <w:r>
                    <w:t xml:space="preserve">Decompression of lumbar spinal canal, 2 levels</w:t>
                  </w:r>
                </w:p>
              </w:tc>
            </w:tr>
          </w:tbl>
          <w:p>
            <w:r>
              <w:t xml:space="preserve">Data source type: Administrative by-product data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Total population aged 18 years and over.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b0f650707ff141f0">
              <w:r>
                <w:rPr>
                  <w:rStyle w:val="Hyperlink"/>
                </w:rPr>
                <w:t xml:space="preserve">Person—estimated resident population of Australia, total people N[N(7)]</w:t>
              </w:r>
            </w:hyperlink>
          </w:p>
          <w:p>
            <w:r>
              <w:rPr>
                <w:rStyle w:val="row-content"/>
                <w:b/>
              </w:rPr>
              <w:t xml:space="preserve">Data Source</w:t>
            </w:r>
          </w:p>
          <w:p>
            <w:hyperlink w:history="true" r:id="Rf66c36dac7ad4734">
              <w:r>
                <w:rPr>
                  <w:rStyle w:val="Hyperlink"/>
                </w:rPr>
                <w:t xml:space="preserve">ABS Estimated resident population (total population)</w:t>
              </w:r>
            </w:hyperlink>
          </w:p>
          <w:p>
            <w:r>
              <w:rPr>
                <w:rStyle w:val="row-content"/>
                <w:b/>
              </w:rPr>
              <w:t xml:space="preserve">Guide for use</w:t>
            </w:r>
          </w:p>
          <w:p>
            <w:r>
              <w:rPr>
                <w:rStyle w:val="row-content"/>
              </w:rPr>
              <w:t xml:space="preserve">ABS Estimated resident population as at June 2001</w:t>
            </w:r>
          </w:p>
          <w:p>
            <w:r>
              <w:rPr>
                <w:rStyle w:val="row-content"/>
              </w:rPr>
              <w:t xml:space="preserve">Data source type: Census based plus administrative by-product data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Statistical Area Level 3, which have been derived from </w:t>
            </w:r>
            <w:hyperlink w:history="true" r:id="R14878131ca454fc1">
              <w:r>
                <w:rPr>
                  <w:rStyle w:val="Hyperlink"/>
                </w:rPr>
                <w:t xml:space="preserve">Postcode—Australian (person)</w:t>
              </w:r>
            </w:hyperlink>
            <w:r>
              <w:rPr>
                <w:rStyle w:val="row-content-rich-text"/>
              </w:rPr>
              <w:t xml:space="preserve">:</w:t>
            </w:r>
          </w:p>
          <w:p>
            <w:pPr>
              <w:pStyle w:val="ListParagraph"/>
              <w:numPr>
                <w:ilvl w:val="0"/>
                <w:numId w:val="2"/>
              </w:numPr>
            </w:pPr>
            <w:r>
              <w:rPr>
                <w:rStyle w:val="row-content-rich-text"/>
              </w:rPr>
              <w:t xml:space="preserve">Statistical Area Level 3 (SA3s) are geographic areas defined in the ABS Australian Statistical Geography Standard (ASGS). The aim of SA3s is to create a standard framework for the analysis of ABS data at the regional level through clustering groups of SA2s that have similar regional characteristics. There are 333 spatial SA3s covering the whole of Australia without gaps or overlaps. They are designed to provide a regional breakdown of Australia. SA3s generally have a population of between 30,000 and 130,000 people. There are approximately 50 with fewer than 30,000 people and 35 with more than 130,000 as at 30 June 2011. For further information see the ABS publication, Australian Statistical Geography Standard (ASGS): Volume 1 – Main Structure and Greater Capital City Statistical Areas, July 2011 (cat. no. 1270.0.55.001).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8b6950d19b2a4a0f">
              <w:r>
                <w:rPr>
                  <w:rStyle w:val="Hyperlink"/>
                </w:rPr>
                <w:t xml:space="preserve">Address—Australian postcode, Australian postcode code (Postcode datafile) {NNNN}</w:t>
              </w:r>
            </w:hyperlink>
          </w:p>
          <w:p>
            <w:r>
              <w:rPr>
                <w:rStyle w:val="row-content"/>
                <w:b/>
              </w:rPr>
              <w:t xml:space="preserve">Data Source</w:t>
            </w:r>
          </w:p>
          <w:p>
            <w:hyperlink w:history="true" r:id="R813117850fec4b30">
              <w:r>
                <w:rPr>
                  <w:rStyle w:val="Hyperlink"/>
                </w:rPr>
                <w:t xml:space="preserve">National Hospital Morbidity Database (NHMD)</w:t>
              </w:r>
            </w:hyperlink>
          </w:p>
          <w:p>
            <w:r>
              <w:rPr>
                <w:rStyle w:val="row-content"/>
                <w:b/>
              </w:rPr>
              <w:t xml:space="preserve">Guide for use</w:t>
            </w:r>
          </w:p>
          <w:p>
            <w:r>
              <w:rPr>
                <w:rStyle w:val="row-content"/>
              </w:rPr>
              <w:t xml:space="preserve">Postcode is based on that which is provided by the patient to the hospital at which they are admitted.</w:t>
            </w:r>
          </w:p>
          <w:p>
            <w:r>
              <w:rPr>
                <w:rStyle w:val="row-content"/>
              </w:rPr>
              <w:t xml:space="preserve">Data source type: Administrative by-product data</w:t>
            </w:r>
          </w:p>
          <w:p>
            <w:r>
              <w:rPr>
                <w:rStyle w:val="row-content"/>
              </w:rPr>
              <w:t xml:space="preserve">Used for disaggregation by Statistical Area Level 3.</w:t>
            </w:r>
          </w:p>
          <w:p>
            <w:r>
              <w:rPr>
                <w:rStyle w:val="row-content"/>
              </w:rPr>
              <w:t xml:space="preserve"> </w:t>
            </w:r>
          </w:p>
          <w:p>
            <w:r>
              <w:rPr>
                <w:rStyle w:val="row-content"/>
                <w:b/>
                <w:color w:val="000000"/>
              </w:rPr>
              <w:t xml:space="preserve">Data Element / Data Set</w:t>
            </w:r>
          </w:p>
          <w:p>
            <w:hyperlink w:history="true" r:id="R3bff72de818a4b81">
              <w:r>
                <w:rPr>
                  <w:rStyle w:val="Hyperlink"/>
                </w:rPr>
                <w:t xml:space="preserve">Address—statistical area, level 3 (SA3) code (ASGS 2011) NNNNN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Rate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Integer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Episode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b507f6c57f4c4f6f">
              <w:r>
                <w:rPr>
                  <w:rStyle w:val="Hyperlink"/>
                </w:rPr>
                <w:t xml:space="preserve">ABS Estimated resident population (total population)</w:t>
              </w:r>
            </w:hyperlink>
          </w:p>
          <w:p>
            <w:r>
              <w:rPr>
                <w:rStyle w:val="row-content"/>
                <w:b/>
              </w:rPr>
              <w:t xml:space="preserve">Frequency</w:t>
            </w:r>
          </w:p>
          <w:p>
            <w:r>
              <w:rPr>
                <w:rStyle w:val="row-content"/>
              </w:rPr>
              <w:t xml:space="preserve">Quarterly</w:t>
            </w:r>
          </w:p>
          <w:p>
            <w:r>
              <w:rPr>
                <w:rStyle w:val="row-content"/>
                <w:b/>
              </w:rPr>
              <w:t xml:space="preserve">Data quality statement</w:t>
            </w:r>
          </w:p>
          <w:p>
            <w:hyperlink w:history="true" r:id="R0f87ad38d04d47b6">
              <w:r>
                <w:rPr>
                  <w:rStyle w:val="Hyperlink"/>
                </w:rPr>
                <w:t xml:space="preserve">ABS Estimated resident population (total population), QS</w:t>
              </w:r>
            </w:hyperlink>
          </w:p>
          <w:p>
            <w:r>
              <w:rPr>
                <w:rStyle w:val="row-content"/>
                <w:b/>
              </w:rPr>
              <w:t xml:space="preserve">Data custodian</w:t>
            </w:r>
          </w:p>
          <w:p>
            <w:r>
              <w:rPr>
                <w:rStyle w:val="row-content"/>
              </w:rPr>
              <w:t xml:space="preserve">Australian Bureau of Statistics</w:t>
            </w:r>
          </w:p>
          <w:p>
            <w:r>
              <w:rPr>
                <w:rStyle w:val="row-content"/>
              </w:rPr>
              <w:t xml:space="preserve"> </w:t>
            </w:r>
          </w:p>
          <w:p>
            <w:r>
              <w:rPr>
                <w:rStyle w:val="row-content"/>
                <w:b/>
                <w:color w:val="000000"/>
              </w:rPr>
              <w:t xml:space="preserve">Data Source</w:t>
            </w:r>
          </w:p>
          <w:p>
            <w:hyperlink w:history="true" r:id="R7464b1d5cf7c483f">
              <w:r>
                <w:rPr>
                  <w:rStyle w:val="Hyperlink"/>
                </w:rPr>
                <w:t xml:space="preserve">National Hospital Morbidity Database (NHMD)</w:t>
              </w:r>
            </w:hyperlink>
          </w:p>
          <w:p>
            <w:r>
              <w:rPr>
                <w:rStyle w:val="row-content"/>
                <w:b/>
              </w:rPr>
              <w:t xml:space="preserve">Frequency</w:t>
            </w:r>
          </w:p>
          <w:p>
            <w:r>
              <w:rPr>
                <w:rStyle w:val="row-content"/>
              </w:rPr>
              <w:t xml:space="preserve">Annual</w:t>
            </w:r>
          </w:p>
          <w:p>
            <w:r>
              <w:rPr>
                <w:rStyle w:val="row-content"/>
                <w:b/>
              </w:rPr>
              <w:t xml:space="preserve">Data custodian</w:t>
            </w:r>
          </w:p>
          <w:p>
            <w:r>
              <w:rPr>
                <w:rStyle w:val="row-content"/>
              </w:rPr>
              <w:t xml:space="preserve">Australian Institute of Health and Welfare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Commission of Safety and Quality in Health Care's Atlas of Healthcare Variation, released November 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Commission of Safety and Quality in Health Care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Health Performacne Authority</w:t>
            </w:r>
          </w:p>
          <w:p>
            <w:r>
              <w:br/>
            </w:r>
          </w:p>
        </w:tc>
      </w:tr>
    </w:tbl>
    <w:p>
      <w:r>
        <w:br/>
      </w:r>
    </w:p>
    <w:sectPr>
      <w:footerReference xmlns:r="http://schemas.openxmlformats.org/officeDocument/2006/relationships" w:type="default" r:id="Rea1c74dbe9114dd2"/>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611791</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a4557673b6a407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a1c74dbe9114dd2" /><Relationship Type="http://schemas.openxmlformats.org/officeDocument/2006/relationships/header" Target="/word/header1.xml" Id="Rec061217c9ab47f1" /><Relationship Type="http://schemas.openxmlformats.org/officeDocument/2006/relationships/settings" Target="/word/settings.xml" Id="R8b8ba8b159704771" /><Relationship Type="http://schemas.openxmlformats.org/officeDocument/2006/relationships/styles" Target="/word/styles.xml" Id="R8c2fd80e9aa2437b" /><Relationship Type="http://schemas.openxmlformats.org/officeDocument/2006/relationships/numbering" Target="/word/numbering.xml" Id="Rb63784df694e4d2f" /><Relationship Type="http://schemas.openxmlformats.org/officeDocument/2006/relationships/hyperlink" Target="https://meteor.aihw.gov.au/RegistrationAuthority/8" TargetMode="External" Id="Re69495e2215145b1" /><Relationship Type="http://schemas.openxmlformats.org/officeDocument/2006/relationships/hyperlink" Target="https://meteor.aihw.gov.au/RegistrationAuthority/18" TargetMode="External" Id="Rb9a8b23c35374750" /><Relationship Type="http://schemas.openxmlformats.org/officeDocument/2006/relationships/hyperlink" Target="https://meteor.aihw.gov.au/content/623427" TargetMode="External" Id="R5f56d663ff444ab5" /><Relationship Type="http://schemas.openxmlformats.org/officeDocument/2006/relationships/hyperlink" Target="https://meteor.aihw.gov.au/RegistrationAuthority/18" TargetMode="External" Id="R7d98c15e5d15469e" /><Relationship Type="http://schemas.openxmlformats.org/officeDocument/2006/relationships/hyperlink" Target="https://meteor.aihw.gov.au/RegistrationAuthority/8" TargetMode="External" Id="R5a469666262d4ece" /><Relationship Type="http://schemas.openxmlformats.org/officeDocument/2006/relationships/hyperlink" Target="https://meteor.aihw.gov.au/content/327276" TargetMode="External" Id="Rebe19dcb875d4447" /><Relationship Type="http://schemas.openxmlformats.org/officeDocument/2006/relationships/hyperlink" Target="https://meteor.aihw.gov.au/content/287007" TargetMode="External" Id="Re3e871e758694adb" /><Relationship Type="http://schemas.openxmlformats.org/officeDocument/2006/relationships/hyperlink" Target="https://meteor.aihw.gov.au/content/391326" TargetMode="External" Id="R94dd6f3a24b44bd3" /><Relationship Type="http://schemas.openxmlformats.org/officeDocument/2006/relationships/hyperlink" Target="https://meteor.aihw.gov.au/content/394352" TargetMode="External" Id="Rf4490b010d9e40f3" /><Relationship Type="http://schemas.openxmlformats.org/officeDocument/2006/relationships/hyperlink" Target="https://meteor.aihw.gov.au/content/391349" TargetMode="External" Id="R1dd4e25dccc345a5" /><Relationship Type="http://schemas.openxmlformats.org/officeDocument/2006/relationships/hyperlink" Target="https://meteor.aihw.gov.au/content/388656" TargetMode="External" Id="Rb0f650707ff141f0" /><Relationship Type="http://schemas.openxmlformats.org/officeDocument/2006/relationships/hyperlink" Target="https://meteor.aihw.gov.au/content/393625" TargetMode="External" Id="Rf66c36dac7ad4734" /><Relationship Type="http://schemas.openxmlformats.org/officeDocument/2006/relationships/hyperlink" Target="https://meteor.aihw.gov.au/content/287224" TargetMode="External" Id="R14878131ca454fc1" /><Relationship Type="http://schemas.openxmlformats.org/officeDocument/2006/relationships/hyperlink" Target="https://meteor.aihw.gov.au/content/429894" TargetMode="External" Id="R8b6950d19b2a4a0f" /><Relationship Type="http://schemas.openxmlformats.org/officeDocument/2006/relationships/hyperlink" Target="https://meteor.aihw.gov.au/content/394352" TargetMode="External" Id="R813117850fec4b30" /><Relationship Type="http://schemas.openxmlformats.org/officeDocument/2006/relationships/hyperlink" Target="https://meteor.aihw.gov.au/content/457293" TargetMode="External" Id="R3bff72de818a4b81" /><Relationship Type="http://schemas.openxmlformats.org/officeDocument/2006/relationships/hyperlink" Target="https://meteor.aihw.gov.au/content/393625" TargetMode="External" Id="Rb507f6c57f4c4f6f" /><Relationship Type="http://schemas.openxmlformats.org/officeDocument/2006/relationships/hyperlink" Target="https://meteor.aihw.gov.au/content/449216" TargetMode="External" Id="R0f87ad38d04d47b6" /><Relationship Type="http://schemas.openxmlformats.org/officeDocument/2006/relationships/hyperlink" Target="https://meteor.aihw.gov.au/content/394352" TargetMode="External" Id="R7464b1d5cf7c483f" /></Relationships>
</file>

<file path=word/_rels/header1.xml.rels>&#65279;<?xml version="1.0" encoding="utf-8"?><Relationships xmlns="http://schemas.openxmlformats.org/package/2006/relationships"><Relationship Type="http://schemas.openxmlformats.org/officeDocument/2006/relationships/image" Target="/media/image.png" Id="R7a4557673b6a407a" /></Relationships>
</file>