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1caaac863dd4fb5" /></Relationships>
</file>

<file path=word/document.xml><?xml version="1.0" encoding="utf-8"?>
<w:document xmlns:r="http://schemas.openxmlformats.org/officeDocument/2006/relationships" xmlns:w="http://schemas.openxmlformats.org/wordprocessingml/2006/main">
  <w:body>
    <w:p>
      <w:pPr>
        <w:pStyle w:val="Title"/>
      </w:pPr>
      <w:r>
        <w:t>4.2, 4.3, 4.4 Number of PBS prescriptions dispensed for antidepressant medicines per 100,000 people, 2013–14</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4​.2, 4.3, 4.4 Number of PBS prescriptions dispensed for antidepressant medicines per 100,000 people, 2013–14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Antidepressant medicines dispensing, 2013-14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611661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4b0d5546664a8e">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hyperlink w:history="true" r:id="Ra39f092043aa4f22">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PBS prescriptions dispensed for antidepressant medicines per 100,000 people, age standardised. Data are disaggregated by the area in which the person lives.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6480c84a74a44a9">
              <w:r>
                <w:rPr>
                  <w:rStyle w:val="Hyperlink"/>
                </w:rPr>
                <w:t xml:space="preserve">Australian Atlas of Healthcare Variation </w:t>
              </w:r>
            </w:hyperlink>
          </w:p>
          <w:p>
            <w:pPr>
              <w:spacing w:before="0" w:after="0"/>
            </w:pPr>
            <w:r>
              <w:rPr>
                <w:rStyle w:val="row-content"/>
                <w:color w:val="244061"/>
              </w:rPr>
              <w:t xml:space="preserve">       </w:t>
            </w:r>
            <w:hyperlink w:history="true" r:id="R8ad4a5595cd24fce">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0505cac40a0944a1">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17 years and under</w:t>
            </w:r>
          </w:p>
          <w:p>
            <w:pPr>
              <w:spacing w:after="160"/>
            </w:pPr>
            <w:r>
              <w:rPr>
                <w:rStyle w:val="row-content-rich-text"/>
              </w:rPr>
              <w:t xml:space="preserve">18 to 64 years</w:t>
            </w:r>
          </w:p>
          <w:p>
            <w:pPr/>
            <w:r>
              <w:rPr>
                <w:rStyle w:val="row-content-rich-text"/>
              </w:rPr>
              <w:t xml:space="preserve">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spacing w:after="160"/>
            </w:pPr>
            <w:r>
              <w:rPr>
                <w:rStyle w:val="row-content-rich-text"/>
              </w:rPr>
              <w:t xml:space="preserve">Presented as a number per 100,000 people, age standardised, by Statistical Area Level 3.</w:t>
            </w:r>
          </w:p>
          <w:p>
            <w:pPr>
              <w:spacing w:after="160"/>
            </w:pPr>
            <w:r>
              <w:rPr>
                <w:rStyle w:val="row-content-rich-text"/>
              </w:rPr>
              <w:t xml:space="preserve">Analysis by Statistical Area Level 3 (SA3) is based on postcode of usual residence of the patient which is based on the patient's Medicare enrolment postcode on the date the prescription was dispensed.</w:t>
            </w:r>
          </w:p>
          <w:p>
            <w:pPr>
              <w:spacing w:after="160"/>
            </w:pPr>
            <w:r>
              <w:rPr>
                <w:rStyle w:val="row-content-rich-text"/>
              </w:rPr>
              <w:t xml:space="preserve">SA3s where the total population was less than 2,500 or where the population of interest was less than 200 are excluded.</w:t>
            </w:r>
          </w:p>
          <w:p>
            <w:pPr>
              <w:spacing w:after="160"/>
            </w:pPr>
            <w:r>
              <w:rPr>
                <w:rStyle w:val="row-content-rich-text"/>
              </w:rPr>
              <w:t xml:space="preserve">Suppression protocol for calculating age standardised rates:</w:t>
            </w:r>
          </w:p>
          <w:p>
            <w:pPr>
              <w:spacing w:after="160"/>
            </w:pPr>
            <w:r>
              <w:rPr>
                <w:rStyle w:val="row-content-rich-text"/>
              </w:rPr>
              <w:t xml:space="preserve"> </w:t>
            </w:r>
          </w:p>
          <w:tbl>
            <w:tblPr>
              <w:tblStyle w:val="TableGrid"/>
              <w:tblW w:w="5000" w:type="pct"/>
              <w:tblLayout w:type="autofit"/>
            </w:tblPr>
            <w:tblGrid>
              <w:gridCol/>
              <w:gridCol/>
            </w:tblGrid>
            <w:tr>
              <w:trPr/>
              <w:tc>
                <w:tcPr>
                  <w:tcW w:w="1000" w:type="pct"/>
                  <w:vAlign w:val="top"/>
                </w:tcPr>
                <w:p>
                  <w:pPr>
                    <w:spacing w:after="160"/>
                  </w:pPr>
                  <w:r>
                    <w:rPr>
                      <w:rStyle w:val="row-content-rich-text"/>
                    </w:rPr>
                    <w:t xml:space="preserve"> </w:t>
                  </w:r>
                </w:p>
                <w:p>
                  <w:pPr/>
                  <w:r>
                    <w:rPr>
                      <w:rStyle w:val="row-content-rich-text"/>
                    </w:rPr>
                    <w:t xml:space="preserve">Numerator</w:t>
                  </w:r>
                </w:p>
              </w:tc>
              <w:tc>
                <w:tcPr>
                  <w:tcW w:w="4000" w:type="pct"/>
                  <w:vAlign w:val="top"/>
                </w:tcPr>
                <w:p>
                  <w:r>
                    <w:t xml:space="preserve">Total prescriptions dispensed less than 20 (unrounded)</w:t>
                  </w:r>
                </w:p>
              </w:tc>
            </w:tr>
            <w:tr>
              <w:trPr/>
              <w:tc>
                <w:tcPr>
                  <w:tcW w:w="1000" w:type="pct"/>
                  <w:vAlign w:val="top"/>
                </w:tcPr>
                <w:p>
                  <w:r>
                    <w:t xml:space="preserve">Denominator</w:t>
                  </w:r>
                </w:p>
              </w:tc>
              <w:tc>
                <w:tcPr>
                  <w:tcW w:w="4000" w:type="pct"/>
                  <w:vAlign w:val="top"/>
                </w:tcPr>
                <w:p>
                  <w:r>
                    <w:t xml:space="preserve">ERP for one or more five year age groups less than 30</w:t>
                  </w:r>
                </w:p>
              </w:tc>
            </w:tr>
          </w:tbl>
          <w:p>
            <w:r>
              <w:t xml:space="preserve">For the population group 17 years and under, the following age groups were used for calculating age standardised rates: 0-4, 5-9, 10-14, 15-17.</w:t>
            </w:r>
          </w:p>
          <w:p>
            <w:r>
              <w:t xml:space="preserve">For the population group 18 to 64 years, the following age groups were used for calculating age standardised rates: 18-24, 25-29,....60-64.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100,000 x (Numerator ÷ Denominator), age standardised</w:t>
            </w:r>
          </w:p>
          <w:p>
            <w:pPr>
              <w:spacing w:after="160"/>
            </w:pPr>
            <w:r>
              <w:rPr>
                <w:rStyle w:val="row-content-rich-text"/>
              </w:rPr>
              <w:t xml:space="preserve">For more information about age-standardisation see</w:t>
            </w:r>
          </w:p>
          <w:p>
            <w:hyperlink w:history="true" r:id="R0ee88910ae554d4f">
              <w:r>
                <w:rPr>
                  <w:rStyle w:val="Hyperlink"/>
                </w:rPr>
                <w:t xml:space="preserve">/content/index.phtml/itemId/327276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PBS prescriptions dispensed for antidepressant medicines in 2013-14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d6763fa19a84db7">
              <w:r>
                <w:rPr>
                  <w:rStyle w:val="Hyperlink"/>
                </w:rPr>
                <w:t xml:space="preserve">Pharmaceutical Benefits Scheme (PBS) prescription—PBS item prescribed, code NN[NNN]A</w:t>
              </w:r>
            </w:hyperlink>
          </w:p>
          <w:p>
            <w:r>
              <w:rPr>
                <w:rStyle w:val="row-content"/>
                <w:b/>
              </w:rPr>
              <w:t xml:space="preserve">NMDS / DSS</w:t>
            </w:r>
          </w:p>
          <w:p>
            <w:hyperlink w:history="true" r:id="Rd18eae42f8804f3d">
              <w:r>
                <w:rPr>
                  <w:rStyle w:val="Hyperlink"/>
                </w:rPr>
                <w:t xml:space="preserve">Pharmaceutical Benefits Scheme (PBS) state/territory data extract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bl>
            <w:tblPr>
              <w:tblStyle w:val="TableGrid"/>
              <w:tblW w:w="5000" w:type="pct"/>
              <w:tblLayout w:type="autofit"/>
            </w:tblPr>
            <w:tblGrid>
              <w:gridCol/>
              <w:gridCol/>
            </w:tblGrid>
            <w:tr>
              <w:trPr/>
              <w:tc>
                <w:tcPr>
                  <w:tcW w:w="3000" w:type="pct"/>
                  <w:vAlign w:val="top"/>
                </w:tcPr>
                <w:p>
                  <w:r>
                    <w:rPr>
                      <w:rStyle w:val="row-content"/>
                    </w:rPr>
                    <w:t xml:space="preserve"> </w:t>
                  </w:r>
                  <w:r>
                    <w:rPr>
                      <w:rStyle w:val="row-content"/>
                      <w:b/>
                    </w:rPr>
                    <w:t xml:space="preserve">PBS code</w:t>
                  </w:r>
                </w:p>
              </w:tc>
              <w:tc>
                <w:tcPr>
                  <w:tcW w:w="1950" w:type="pct"/>
                  <w:vAlign w:val="top"/>
                </w:tcPr>
                <w:p>
                  <w:r>
                    <w:rPr>
                      <w:b/>
                    </w:rPr>
                    <w:t xml:space="preserve">Description</w:t>
                  </w:r>
                </w:p>
              </w:tc>
            </w:tr>
            <w:tr>
              <w:trPr/>
              <w:tc>
                <w:tcPr>
                  <w:tcW w:w="3000" w:type="pct"/>
                  <w:vAlign w:val="top"/>
                </w:tcPr>
                <w:p>
                  <w:r>
                    <w:t xml:space="preserve">02417F, 02418G, 02429W</w:t>
                  </w:r>
                </w:p>
              </w:tc>
              <w:tc>
                <w:tcPr>
                  <w:tcW w:w="1950" w:type="pct"/>
                  <w:vAlign w:val="top"/>
                </w:tcPr>
                <w:p>
                  <w:r>
                    <w:t xml:space="preserve">AMITRIPTYLINE</w:t>
                  </w:r>
                </w:p>
              </w:tc>
            </w:tr>
            <w:tr>
              <w:trPr/>
              <w:tc>
                <w:tcPr>
                  <w:tcW w:w="3000" w:type="pct"/>
                  <w:vAlign w:val="top"/>
                </w:tcPr>
                <w:p>
                  <w:r>
                    <w:t xml:space="preserve">08220P, 08702B, 08703C</w:t>
                  </w:r>
                </w:p>
              </w:tc>
              <w:tc>
                <w:tcPr>
                  <w:tcW w:w="1950" w:type="pct"/>
                  <w:vAlign w:val="top"/>
                </w:tcPr>
                <w:p>
                  <w:r>
                    <w:t xml:space="preserve">CITALOPRAM</w:t>
                  </w:r>
                </w:p>
              </w:tc>
            </w:tr>
            <w:tr>
              <w:trPr/>
              <w:tc>
                <w:tcPr>
                  <w:tcW w:w="3000" w:type="pct"/>
                  <w:vAlign w:val="top"/>
                </w:tcPr>
                <w:p>
                  <w:r>
                    <w:t xml:space="preserve">01561E</w:t>
                  </w:r>
                </w:p>
              </w:tc>
              <w:tc>
                <w:tcPr>
                  <w:tcW w:w="1950" w:type="pct"/>
                  <w:vAlign w:val="top"/>
                </w:tcPr>
                <w:p>
                  <w:r>
                    <w:t xml:space="preserve">CLOMIPRAMINE</w:t>
                  </w:r>
                </w:p>
              </w:tc>
            </w:tr>
            <w:tr>
              <w:trPr/>
              <w:tc>
                <w:tcPr>
                  <w:tcW w:w="3000" w:type="pct"/>
                  <w:vAlign w:val="top"/>
                </w:tcPr>
                <w:p>
                  <w:r>
                    <w:t xml:space="preserve">09366Y, 09367B</w:t>
                  </w:r>
                </w:p>
              </w:tc>
              <w:tc>
                <w:tcPr>
                  <w:tcW w:w="1950" w:type="pct"/>
                  <w:vAlign w:val="top"/>
                </w:tcPr>
                <w:p>
                  <w:r>
                    <w:t xml:space="preserve">DESVENLAFAXINE</w:t>
                  </w:r>
                </w:p>
              </w:tc>
            </w:tr>
            <w:tr>
              <w:trPr/>
              <w:tc>
                <w:tcPr>
                  <w:tcW w:w="3000" w:type="pct"/>
                  <w:vAlign w:val="top"/>
                </w:tcPr>
                <w:p>
                  <w:r>
                    <w:t xml:space="preserve">01357K, 01358L</w:t>
                  </w:r>
                </w:p>
              </w:tc>
              <w:tc>
                <w:tcPr>
                  <w:tcW w:w="1950" w:type="pct"/>
                  <w:vAlign w:val="top"/>
                </w:tcPr>
                <w:p>
                  <w:r>
                    <w:t xml:space="preserve">DOTHIEPIN</w:t>
                  </w:r>
                </w:p>
              </w:tc>
            </w:tr>
            <w:tr>
              <w:trPr/>
              <w:tc>
                <w:tcPr>
                  <w:tcW w:w="3000" w:type="pct"/>
                  <w:vAlign w:val="top"/>
                </w:tcPr>
                <w:p>
                  <w:r>
                    <w:t xml:space="preserve">01011F, 01012G, 01013H</w:t>
                  </w:r>
                </w:p>
              </w:tc>
              <w:tc>
                <w:tcPr>
                  <w:tcW w:w="1950" w:type="pct"/>
                  <w:vAlign w:val="top"/>
                </w:tcPr>
                <w:p>
                  <w:r>
                    <w:t xml:space="preserve">DOXEPIN</w:t>
                  </w:r>
                </w:p>
              </w:tc>
            </w:tr>
            <w:tr>
              <w:trPr/>
              <w:tc>
                <w:tcPr>
                  <w:tcW w:w="3000" w:type="pct"/>
                  <w:vAlign w:val="top"/>
                </w:tcPr>
                <w:p>
                  <w:r>
                    <w:t xml:space="preserve">09155W, 09156X</w:t>
                  </w:r>
                </w:p>
              </w:tc>
              <w:tc>
                <w:tcPr>
                  <w:tcW w:w="1950" w:type="pct"/>
                  <w:vAlign w:val="top"/>
                </w:tcPr>
                <w:p>
                  <w:r>
                    <w:t xml:space="preserve">DULOXETINE</w:t>
                  </w:r>
                </w:p>
              </w:tc>
            </w:tr>
            <w:tr>
              <w:trPr/>
              <w:tc>
                <w:tcPr>
                  <w:tcW w:w="3000" w:type="pct"/>
                  <w:vAlign w:val="top"/>
                </w:tcPr>
                <w:p>
                  <w:r>
                    <w:t xml:space="preserve">08700X, 08701Y, 08849R, 09432K, 09433L</w:t>
                  </w:r>
                </w:p>
              </w:tc>
              <w:tc>
                <w:tcPr>
                  <w:tcW w:w="1950" w:type="pct"/>
                  <w:vAlign w:val="top"/>
                </w:tcPr>
                <w:p>
                  <w:r>
                    <w:t xml:space="preserve">ESCITALOPRAM</w:t>
                  </w:r>
                </w:p>
              </w:tc>
            </w:tr>
            <w:tr>
              <w:trPr/>
              <w:tc>
                <w:tcPr>
                  <w:tcW w:w="3000" w:type="pct"/>
                  <w:vAlign w:val="top"/>
                </w:tcPr>
                <w:p>
                  <w:r>
                    <w:t xml:space="preserve">01434L, 08270G</w:t>
                  </w:r>
                </w:p>
              </w:tc>
              <w:tc>
                <w:tcPr>
                  <w:tcW w:w="1950" w:type="pct"/>
                  <w:vAlign w:val="top"/>
                </w:tcPr>
                <w:p>
                  <w:r>
                    <w:t xml:space="preserve">FLUOXETINE</w:t>
                  </w:r>
                </w:p>
              </w:tc>
            </w:tr>
            <w:tr>
              <w:trPr/>
              <w:tc>
                <w:tcPr>
                  <w:tcW w:w="3000" w:type="pct"/>
                  <w:vAlign w:val="top"/>
                </w:tcPr>
                <w:p>
                  <w:r>
                    <w:t xml:space="preserve">08174F, 08512B</w:t>
                  </w:r>
                </w:p>
              </w:tc>
              <w:tc>
                <w:tcPr>
                  <w:tcW w:w="1950" w:type="pct"/>
                  <w:vAlign w:val="top"/>
                </w:tcPr>
                <w:p>
                  <w:r>
                    <w:t xml:space="preserve">FLUVOXAMINE</w:t>
                  </w:r>
                </w:p>
              </w:tc>
            </w:tr>
            <w:tr>
              <w:trPr/>
              <w:tc>
                <w:tcPr>
                  <w:tcW w:w="3000" w:type="pct"/>
                  <w:vAlign w:val="top"/>
                </w:tcPr>
                <w:p>
                  <w:r>
                    <w:t xml:space="preserve">02420J, 02421K</w:t>
                  </w:r>
                </w:p>
              </w:tc>
              <w:tc>
                <w:tcPr>
                  <w:tcW w:w="1950" w:type="pct"/>
                  <w:vAlign w:val="top"/>
                </w:tcPr>
                <w:p>
                  <w:r>
                    <w:t xml:space="preserve">IMIPRAMINE</w:t>
                  </w:r>
                </w:p>
              </w:tc>
            </w:tr>
            <w:tr>
              <w:trPr/>
              <w:tc>
                <w:tcPr>
                  <w:tcW w:w="3000" w:type="pct"/>
                  <w:vAlign w:val="top"/>
                </w:tcPr>
                <w:p>
                  <w:r>
                    <w:t xml:space="preserve">03059B, 08290H</w:t>
                  </w:r>
                </w:p>
              </w:tc>
              <w:tc>
                <w:tcPr>
                  <w:tcW w:w="1950" w:type="pct"/>
                  <w:vAlign w:val="top"/>
                </w:tcPr>
                <w:p>
                  <w:r>
                    <w:t xml:space="preserve">LITHIUM CARBONATE</w:t>
                  </w:r>
                </w:p>
              </w:tc>
            </w:tr>
            <w:tr>
              <w:trPr/>
              <w:tc>
                <w:tcPr>
                  <w:tcW w:w="3000" w:type="pct"/>
                  <w:vAlign w:val="top"/>
                </w:tcPr>
                <w:p>
                  <w:r>
                    <w:t xml:space="preserve">01627P, 01628Q</w:t>
                  </w:r>
                </w:p>
              </w:tc>
              <w:tc>
                <w:tcPr>
                  <w:tcW w:w="1950" w:type="pct"/>
                  <w:vAlign w:val="top"/>
                </w:tcPr>
                <w:p>
                  <w:r>
                    <w:t xml:space="preserve">MIANSERIN</w:t>
                  </w:r>
                </w:p>
              </w:tc>
            </w:tr>
            <w:tr>
              <w:trPr/>
              <w:tc>
                <w:tcPr>
                  <w:tcW w:w="3000" w:type="pct"/>
                  <w:vAlign w:val="top"/>
                </w:tcPr>
                <w:p>
                  <w:r>
                    <w:t xml:space="preserve">08513C, 08855C, 08856D, 08857E, 08883M, 09365X</w:t>
                  </w:r>
                </w:p>
              </w:tc>
              <w:tc>
                <w:tcPr>
                  <w:tcW w:w="1950" w:type="pct"/>
                  <w:vAlign w:val="top"/>
                </w:tcPr>
                <w:p>
                  <w:r>
                    <w:t xml:space="preserve">MIRTAZAPINE</w:t>
                  </w:r>
                </w:p>
              </w:tc>
            </w:tr>
            <w:tr>
              <w:trPr/>
              <w:tc>
                <w:tcPr>
                  <w:tcW w:w="3000" w:type="pct"/>
                  <w:vAlign w:val="top"/>
                </w:tcPr>
                <w:p>
                  <w:r>
                    <w:t xml:space="preserve">01900B, 08003F</w:t>
                  </w:r>
                </w:p>
              </w:tc>
              <w:tc>
                <w:tcPr>
                  <w:tcW w:w="1950" w:type="pct"/>
                  <w:vAlign w:val="top"/>
                </w:tcPr>
                <w:p>
                  <w:r>
                    <w:t xml:space="preserve">MOCLOBEMIDE</w:t>
                  </w:r>
                </w:p>
              </w:tc>
            </w:tr>
            <w:tr>
              <w:trPr/>
              <w:tc>
                <w:tcPr>
                  <w:tcW w:w="3000" w:type="pct"/>
                  <w:vAlign w:val="top"/>
                </w:tcPr>
                <w:p>
                  <w:r>
                    <w:t xml:space="preserve">02522R, 02523T</w:t>
                  </w:r>
                </w:p>
              </w:tc>
              <w:tc>
                <w:tcPr>
                  <w:tcW w:w="1950" w:type="pct"/>
                  <w:vAlign w:val="top"/>
                </w:tcPr>
                <w:p>
                  <w:r>
                    <w:t xml:space="preserve">NORTRIPTYLINE</w:t>
                  </w:r>
                </w:p>
              </w:tc>
            </w:tr>
            <w:tr>
              <w:trPr/>
              <w:tc>
                <w:tcPr>
                  <w:tcW w:w="3000" w:type="pct"/>
                  <w:vAlign w:val="top"/>
                </w:tcPr>
                <w:p>
                  <w:r>
                    <w:t xml:space="preserve">02242B, 09197C</w:t>
                  </w:r>
                </w:p>
              </w:tc>
              <w:tc>
                <w:tcPr>
                  <w:tcW w:w="1950" w:type="pct"/>
                  <w:vAlign w:val="top"/>
                </w:tcPr>
                <w:p>
                  <w:r>
                    <w:t xml:space="preserve">PAROXETINE</w:t>
                  </w:r>
                </w:p>
              </w:tc>
            </w:tr>
            <w:tr>
              <w:trPr/>
              <w:tc>
                <w:tcPr>
                  <w:tcW w:w="3000" w:type="pct"/>
                  <w:vAlign w:val="top"/>
                </w:tcPr>
                <w:p>
                  <w:r>
                    <w:t xml:space="preserve">02856H</w:t>
                  </w:r>
                </w:p>
              </w:tc>
              <w:tc>
                <w:tcPr>
                  <w:tcW w:w="1950" w:type="pct"/>
                  <w:vAlign w:val="top"/>
                </w:tcPr>
                <w:p>
                  <w:r>
                    <w:t xml:space="preserve">PHENELZINE</w:t>
                  </w:r>
                </w:p>
              </w:tc>
            </w:tr>
            <w:tr>
              <w:trPr/>
              <w:tc>
                <w:tcPr>
                  <w:tcW w:w="3000" w:type="pct"/>
                  <w:vAlign w:val="top"/>
                </w:tcPr>
                <w:p>
                  <w:r>
                    <w:t xml:space="preserve">08583R</w:t>
                  </w:r>
                </w:p>
              </w:tc>
              <w:tc>
                <w:tcPr>
                  <w:tcW w:w="1950" w:type="pct"/>
                  <w:vAlign w:val="top"/>
                </w:tcPr>
                <w:p>
                  <w:r>
                    <w:t xml:space="preserve">REBOXETINE</w:t>
                  </w:r>
                </w:p>
              </w:tc>
            </w:tr>
            <w:tr>
              <w:trPr/>
              <w:tc>
                <w:tcPr>
                  <w:tcW w:w="3000" w:type="pct"/>
                  <w:vAlign w:val="top"/>
                </w:tcPr>
                <w:p>
                  <w:r>
                    <w:t xml:space="preserve">02236Q, 02237R, 08836C, 08837D</w:t>
                  </w:r>
                </w:p>
              </w:tc>
              <w:tc>
                <w:tcPr>
                  <w:tcW w:w="1950" w:type="pct"/>
                  <w:vAlign w:val="top"/>
                </w:tcPr>
                <w:p>
                  <w:r>
                    <w:t xml:space="preserve">SERTRALINE</w:t>
                  </w:r>
                </w:p>
              </w:tc>
            </w:tr>
            <w:tr>
              <w:trPr/>
              <w:tc>
                <w:tcPr>
                  <w:tcW w:w="3000" w:type="pct"/>
                  <w:vAlign w:val="top"/>
                </w:tcPr>
                <w:p>
                  <w:r>
                    <w:t xml:space="preserve">02444P</w:t>
                  </w:r>
                </w:p>
              </w:tc>
              <w:tc>
                <w:tcPr>
                  <w:tcW w:w="1950" w:type="pct"/>
                  <w:vAlign w:val="top"/>
                </w:tcPr>
                <w:p>
                  <w:r>
                    <w:t xml:space="preserve">TRANYLCYPROMINE</w:t>
                  </w:r>
                </w:p>
              </w:tc>
            </w:tr>
            <w:tr>
              <w:trPr/>
              <w:tc>
                <w:tcPr>
                  <w:tcW w:w="3000" w:type="pct"/>
                  <w:vAlign w:val="top"/>
                </w:tcPr>
                <w:p>
                  <w:r>
                    <w:t xml:space="preserve">08301X, 08302Y, 08868R</w:t>
                  </w:r>
                </w:p>
              </w:tc>
              <w:tc>
                <w:tcPr>
                  <w:tcW w:w="1950" w:type="pct"/>
                  <w:vAlign w:val="top"/>
                </w:tcPr>
                <w:p>
                  <w:r>
                    <w:t xml:space="preserve">VENLAFAXINE</w:t>
                  </w:r>
                </w:p>
              </w:tc>
            </w:tr>
          </w:tbl>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of age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ca625b2431947a2">
              <w:r>
                <w:rPr>
                  <w:rStyle w:val="Hyperlink"/>
                </w:rPr>
                <w:t xml:space="preserve">Person—estimated resident population of Australia, total people N[N(7)]</w:t>
              </w:r>
            </w:hyperlink>
          </w:p>
          <w:p>
            <w:r>
              <w:rPr>
                <w:rStyle w:val="row-content"/>
                <w:b/>
              </w:rPr>
              <w:t xml:space="preserve">Data Source</w:t>
            </w:r>
          </w:p>
          <w:p>
            <w:hyperlink w:history="true" r:id="R6ea577c493024f2a">
              <w:r>
                <w:rPr>
                  <w:rStyle w:val="Hyperlink"/>
                </w:rPr>
                <w:t xml:space="preserve">ABS Estimated resident population (total population)</w:t>
              </w:r>
            </w:hyperlink>
          </w:p>
          <w:p>
            <w:r>
              <w:rPr>
                <w:rStyle w:val="row-content"/>
                <w:b/>
              </w:rPr>
              <w:t xml:space="preserve">Guide for use</w:t>
            </w:r>
          </w:p>
          <w:p>
            <w:r>
              <w:rPr>
                <w:rStyle w:val="row-content"/>
              </w:rPr>
              <w:t xml:space="preserve"> </w:t>
            </w:r>
          </w:p>
          <w:p>
            <w:r>
              <w:rPr>
                <w:rStyle w:val="row-content"/>
              </w:rPr>
              <w:t xml:space="preserve">ABS Estimated resident population as at June 2001</w:t>
            </w:r>
          </w:p>
          <w:p>
            <w:r>
              <w:rPr>
                <w:rStyle w:val="row-content"/>
              </w:rPr>
              <w:t xml:space="preserve">Data source type: Census 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Area Level 3, which have been derived from </w:t>
            </w:r>
            <w:hyperlink w:history="true" r:id="R3fcb583756934a0d">
              <w:r>
                <w:rPr>
                  <w:rStyle w:val="Hyperlink"/>
                </w:rPr>
                <w:t xml:space="preserve">Postcode—Australian (person)</w:t>
              </w:r>
            </w:hyperlink>
            <w:r>
              <w:rPr>
                <w:rStyle w:val="row-content-rich-text"/>
              </w:rPr>
              <w:t xml:space="preserve">: </w:t>
            </w:r>
          </w:p>
          <w:p>
            <w:pPr>
              <w:pStyle w:val="ListParagraph"/>
              <w:numPr>
                <w:ilvl w:val="0"/>
                <w:numId w:val="2"/>
              </w:numPr>
            </w:pPr>
            <w:r>
              <w:rPr>
                <w:rStyle w:val="row-content-rich-text"/>
              </w:rPr>
              <w:t xml:space="preserve">Statistical Area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333 spatial SA3s covering the whole of Australia without gaps or overlaps. They are designed to provide a regional breakdown of Australia. SA3s generally have a population of between 30,000 and 130,000 people. There are approximately 50 with fewer than 30,000 people and 35 with more than 130,000 as at 30 June 2011. For further information see the ABS publication, Australian Statistical Geography Standard (ASGS): Volume 1 – Main Structure and Greater Capital City Statistical Areas, July 2011 (cat. no. 1270.0.55.001).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e12e81e3d9a43fd">
              <w:r>
                <w:rPr>
                  <w:rStyle w:val="Hyperlink"/>
                </w:rPr>
                <w:t xml:space="preserve">Person—age, total years N[NN]</w:t>
              </w:r>
            </w:hyperlink>
          </w:p>
          <w:p>
            <w:r>
              <w:rPr>
                <w:rStyle w:val="row-content"/>
                <w:b/>
              </w:rPr>
              <w:t xml:space="preserve">NMDS / DSS</w:t>
            </w:r>
          </w:p>
          <w:p>
            <w:hyperlink w:history="true" r:id="R795bd5b0095e4a55">
              <w:r>
                <w:rPr>
                  <w:rStyle w:val="Hyperlink"/>
                </w:rPr>
                <w:t xml:space="preserve">COMPLETE - Pharmaceutical Benefits Scheme (PBS) Pharmacy claim script detail</w:t>
              </w:r>
            </w:hyperlink>
          </w:p>
          <w:p>
            <w:r>
              <w:rPr>
                <w:rStyle w:val="row-content"/>
                <w:b/>
              </w:rPr>
              <w:t xml:space="preserve">Guide for use</w:t>
            </w:r>
          </w:p>
          <w:p>
            <w:r>
              <w:rPr>
                <w:rStyle w:val="row-content"/>
              </w:rPr>
              <w:t xml:space="preserve"> </w:t>
            </w:r>
          </w:p>
          <w:p>
            <w:r>
              <w:rPr>
                <w:rStyle w:val="row-content"/>
              </w:rPr>
              <w:t xml:space="preserve">Age of person is calculated from the patient's date of birth on their Medicare enrolment and on the date the prescription was dispensed.</w:t>
            </w:r>
          </w:p>
          <w:p>
            <w:r>
              <w:rPr>
                <w:rStyle w:val="row-content"/>
              </w:rPr>
              <w:t xml:space="preserve"> </w:t>
            </w:r>
          </w:p>
          <w:p>
            <w:r>
              <w:rPr>
                <w:rStyle w:val="row-content"/>
              </w:rPr>
              <w:t xml:space="preserve">Data are disaggregated by the following age groups:</w:t>
            </w:r>
          </w:p>
          <w:p>
            <w:pPr>
              <w:pStyle w:val="ListParagraph"/>
              <w:numPr>
                <w:ilvl w:val="0"/>
                <w:numId w:val="3"/>
              </w:numPr>
            </w:pPr>
            <w:r>
              <w:rPr>
                <w:rStyle w:val="row-content"/>
              </w:rPr>
              <w:t xml:space="preserve">17 years and under</w:t>
            </w:r>
          </w:p>
          <w:p>
            <w:pPr>
              <w:pStyle w:val="ListParagraph"/>
              <w:numPr>
                <w:ilvl w:val="0"/>
                <w:numId w:val="3"/>
              </w:numPr>
            </w:pPr>
            <w:r>
              <w:rPr>
                <w:rStyle w:val="row-content"/>
              </w:rPr>
              <w:t xml:space="preserve">18 to 64 years</w:t>
            </w:r>
          </w:p>
          <w:p>
            <w:pPr>
              <w:pStyle w:val="ListParagraph"/>
              <w:numPr>
                <w:ilvl w:val="0"/>
                <w:numId w:val="3"/>
              </w:numPr>
            </w:pPr>
            <w:r>
              <w:rPr>
                <w:rStyle w:val="row-content"/>
              </w:rPr>
              <w:t xml:space="preserve">65 years and over</w:t>
            </w:r>
          </w:p>
          <w:p>
            <w:r>
              <w:rPr>
                <w:rStyle w:val="row-content"/>
              </w:rPr>
              <w:t xml:space="preserve"> </w:t>
            </w:r>
          </w:p>
          <w:p>
            <w:r>
              <w:rPr>
                <w:rStyle w:val="row-content"/>
                <w:b/>
                <w:color w:val="000000"/>
              </w:rPr>
              <w:t xml:space="preserve">Data Element / Data Set</w:t>
            </w:r>
          </w:p>
          <w:p>
            <w:hyperlink w:history="true" r:id="R0e9d87e49b1c4e51">
              <w:r>
                <w:rPr>
                  <w:rStyle w:val="Hyperlink"/>
                </w:rPr>
                <w:t xml:space="preserve">Address—Australian postcode, Australian postcode code (Postcode datafile) {NNNN}</w:t>
              </w:r>
            </w:hyperlink>
          </w:p>
          <w:p>
            <w:r>
              <w:rPr>
                <w:rStyle w:val="row-content"/>
                <w:b/>
              </w:rPr>
              <w:t xml:space="preserve">NMDS / DSS</w:t>
            </w:r>
          </w:p>
          <w:p>
            <w:hyperlink w:history="true" r:id="Rb5dfba14c1764b20">
              <w:r>
                <w:rPr>
                  <w:rStyle w:val="Hyperlink"/>
                </w:rPr>
                <w:t xml:space="preserve">COMPLETE - Pharmaceutical Benefits Scheme (PBS) Pharmacy claim script detail</w:t>
              </w:r>
            </w:hyperlink>
          </w:p>
          <w:p>
            <w:r>
              <w:rPr>
                <w:rStyle w:val="row-content"/>
                <w:b/>
              </w:rPr>
              <w:t xml:space="preserve">Guide for use</w:t>
            </w:r>
          </w:p>
          <w:p>
            <w:r>
              <w:rPr>
                <w:rStyle w:val="row-content"/>
              </w:rPr>
              <w:t xml:space="preserve"> </w:t>
            </w:r>
          </w:p>
          <w:p>
            <w:r>
              <w:rPr>
                <w:rStyle w:val="row-content"/>
              </w:rPr>
              <w:t xml:space="preserve">Postcode is based on the patient's Medicare enrolement postcode on the date the prescription was dispensed.</w:t>
            </w:r>
          </w:p>
          <w:p>
            <w:r>
              <w:rPr>
                <w:rStyle w:val="row-content"/>
              </w:rPr>
              <w:t xml:space="preserve">GPO postcodes 2001, 2124, 3001, 4001, 5001, 6843 excluded from the SA3 analysis but included in state/territory and national level analysis.</w:t>
            </w:r>
          </w:p>
          <w:p>
            <w:r>
              <w:rPr>
                <w:rStyle w:val="row-content"/>
              </w:rPr>
              <w:t xml:space="preserve">Data source type: Administrative by-product data</w:t>
            </w:r>
          </w:p>
          <w:p>
            <w:r>
              <w:rPr>
                <w:rStyle w:val="row-content"/>
              </w:rPr>
              <w:t xml:space="preserve">Used for disaggregation by Statistical Area Level 3.</w:t>
            </w:r>
          </w:p>
          <w:p>
            <w:r>
              <w:rPr>
                <w:rStyle w:val="row-content"/>
              </w:rPr>
              <w:t xml:space="preserve"> </w:t>
            </w:r>
          </w:p>
          <w:p>
            <w:r>
              <w:rPr>
                <w:rStyle w:val="row-content"/>
                <w:b/>
                <w:color w:val="000000"/>
              </w:rPr>
              <w:t xml:space="preserve">Data Element / Data Set</w:t>
            </w:r>
          </w:p>
          <w:p>
            <w:hyperlink w:history="true" r:id="Re3375b0fb1cd4335">
              <w:r>
                <w:rPr>
                  <w:rStyle w:val="Hyperlink"/>
                </w:rPr>
                <w:t xml:space="preserve">Address—statistical area, level 3 (SA3) code (ASGS 2011) NNNNN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51c7ebea13c483c">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5e640eb7a4b74f19">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of Safety and Quality in Health Care's Atlas of Healthcare Variation, released November 2015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of Safety and Quality in Health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p>
          <w:p>
            <w:r>
              <w:br/>
            </w:r>
          </w:p>
        </w:tc>
      </w:tr>
    </w:tbl>
    <w:p>
      <w:r>
        <w:br/>
      </w:r>
    </w:p>
    <w:sectPr>
      <w:footerReference xmlns:r="http://schemas.openxmlformats.org/officeDocument/2006/relationships" w:type="default" r:id="R926a20064c6e41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611661</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2ba466ed8049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26a20064c6e416c" /><Relationship Type="http://schemas.openxmlformats.org/officeDocument/2006/relationships/header" Target="/word/header1.xml" Id="Reb02fadb252e41c3" /><Relationship Type="http://schemas.openxmlformats.org/officeDocument/2006/relationships/settings" Target="/word/settings.xml" Id="R0bc07b3a8b8c4e4c" /><Relationship Type="http://schemas.openxmlformats.org/officeDocument/2006/relationships/styles" Target="/word/styles.xml" Id="R18ab6af335374ac4" /><Relationship Type="http://schemas.openxmlformats.org/officeDocument/2006/relationships/hyperlink" Target="https://meteor.aihw.gov.au/RegistrationAuthority/18" TargetMode="External" Id="R7e4b0d5546664a8e" /><Relationship Type="http://schemas.openxmlformats.org/officeDocument/2006/relationships/hyperlink" Target="https://meteor.aihw.gov.au/RegistrationAuthority/8" TargetMode="External" Id="Ra39f092043aa4f22" /><Relationship Type="http://schemas.openxmlformats.org/officeDocument/2006/relationships/hyperlink" Target="https://meteor.aihw.gov.au/content/623427" TargetMode="External" Id="Rd6480c84a74a44a9" /><Relationship Type="http://schemas.openxmlformats.org/officeDocument/2006/relationships/hyperlink" Target="https://meteor.aihw.gov.au/RegistrationAuthority/18" TargetMode="External" Id="R8ad4a5595cd24fce" /><Relationship Type="http://schemas.openxmlformats.org/officeDocument/2006/relationships/hyperlink" Target="https://meteor.aihw.gov.au/RegistrationAuthority/8" TargetMode="External" Id="R0505cac40a0944a1" /><Relationship Type="http://schemas.openxmlformats.org/officeDocument/2006/relationships/hyperlink" Target="https://meteor.aihw.gov.au/content/327276" TargetMode="External" Id="R0ee88910ae554d4f" /><Relationship Type="http://schemas.openxmlformats.org/officeDocument/2006/relationships/hyperlink" Target="https://meteor.aihw.gov.au/content/600778" TargetMode="External" Id="Rad6763fa19a84db7" /><Relationship Type="http://schemas.openxmlformats.org/officeDocument/2006/relationships/hyperlink" Target="https://meteor.aihw.gov.au/content/602524" TargetMode="External" Id="Rd18eae42f8804f3d" /><Relationship Type="http://schemas.openxmlformats.org/officeDocument/2006/relationships/hyperlink" Target="https://meteor.aihw.gov.au/content/388656" TargetMode="External" Id="R3ca625b2431947a2" /><Relationship Type="http://schemas.openxmlformats.org/officeDocument/2006/relationships/hyperlink" Target="https://meteor.aihw.gov.au/content/393625" TargetMode="External" Id="R6ea577c493024f2a" /><Relationship Type="http://schemas.openxmlformats.org/officeDocument/2006/relationships/hyperlink" Target="https://meteor.aihw.gov.au/content/287224" TargetMode="External" Id="R3fcb583756934a0d" /><Relationship Type="http://schemas.openxmlformats.org/officeDocument/2006/relationships/numbering" Target="/word/numbering.xml" Id="R104aa4d69d114fbc" /><Relationship Type="http://schemas.openxmlformats.org/officeDocument/2006/relationships/hyperlink" Target="https://meteor.aihw.gov.au/content/303794" TargetMode="External" Id="R1e12e81e3d9a43fd" /><Relationship Type="http://schemas.openxmlformats.org/officeDocument/2006/relationships/hyperlink" Target="https://meteor.aihw.gov.au/content/601300" TargetMode="External" Id="R795bd5b0095e4a55" /><Relationship Type="http://schemas.openxmlformats.org/officeDocument/2006/relationships/hyperlink" Target="https://meteor.aihw.gov.au/content/429894" TargetMode="External" Id="R0e9d87e49b1c4e51" /><Relationship Type="http://schemas.openxmlformats.org/officeDocument/2006/relationships/hyperlink" Target="https://meteor.aihw.gov.au/content/601300" TargetMode="External" Id="Rb5dfba14c1764b20" /><Relationship Type="http://schemas.openxmlformats.org/officeDocument/2006/relationships/hyperlink" Target="https://meteor.aihw.gov.au/content/457293" TargetMode="External" Id="Re3375b0fb1cd4335" /><Relationship Type="http://schemas.openxmlformats.org/officeDocument/2006/relationships/hyperlink" Target="https://meteor.aihw.gov.au/content/393625" TargetMode="External" Id="R051c7ebea13c483c" /><Relationship Type="http://schemas.openxmlformats.org/officeDocument/2006/relationships/hyperlink" Target="https://meteor.aihw.gov.au/content/449216" TargetMode="External" Id="R5e640eb7a4b74f19" /></Relationships>
</file>

<file path=word/_rels/header1.xml.rels>&#65279;<?xml version="1.0" encoding="utf-8"?><Relationships xmlns="http://schemas.openxmlformats.org/package/2006/relationships"><Relationship Type="http://schemas.openxmlformats.org/officeDocument/2006/relationships/image" Target="/media/image.png" Id="Rbd2ba466ed8049cb" /></Relationships>
</file>