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e84b3dd4cb143d1" /></Relationships>
</file>

<file path=word/document.xml><?xml version="1.0" encoding="utf-8"?>
<w:document xmlns:r="http://schemas.openxmlformats.org/officeDocument/2006/relationships" xmlns:w="http://schemas.openxmlformats.org/wordprocessingml/2006/main">
  <w:body>
    <w:p>
      <w:pPr>
        <w:pStyle w:val="Title"/>
      </w:pPr>
      <w:r>
        <w:t>6.10 Number of PBS prescriptions dispensed for anticholinesterase medicines per 100,000 people aged 65 years and over,  2013–14</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6​.10 Number of PBS prescriptions dispensed for anticholinesterase medicines per 100,000 people aged 65 years and over,  2013–14</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Anticholinesterase medicines dispensing 65 years and over, 2013-14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611658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359535b51214d2b">
              <w:r>
                <w:rPr>
                  <w:rStyle w:val="Hyperlink"/>
                  <w:color w:val="244061"/>
                </w:rPr>
                <w:t xml:space="preserve">Australian Commission on Safety and Quality in Health Care</w:t>
              </w:r>
            </w:hyperlink>
            <w:r>
              <w:rPr>
                <w:rStyle w:val="row-content"/>
                <w:color w:val="244061"/>
              </w:rPr>
              <w:t xml:space="preserve">, Standard 23/11/2016</w:t>
            </w:r>
          </w:p>
          <w:p>
            <w:pPr>
              <w:spacing w:before="0" w:after="0"/>
            </w:pPr>
            <w:hyperlink w:history="true" r:id="R5882c7bcab794b6f">
              <w:r>
                <w:rPr>
                  <w:rStyle w:val="Hyperlink"/>
                  <w:color w:val="244061"/>
                </w:rPr>
                <w:t xml:space="preserve">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PBS prescriptions dispensed for anticholinesterase medicines per 100,000 people aged 65 years and over, age standardised. Data are disaggregated by the area in which the person lives.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aa866b6c29024317">
              <w:r>
                <w:rPr>
                  <w:rStyle w:val="Hyperlink"/>
                </w:rPr>
                <w:t xml:space="preserve">Australian Atlas of Healthcare Variation </w:t>
              </w:r>
            </w:hyperlink>
          </w:p>
          <w:p>
            <w:pPr>
              <w:spacing w:before="0" w:after="0"/>
            </w:pPr>
            <w:r>
              <w:rPr>
                <w:rStyle w:val="row-content"/>
                <w:color w:val="244061"/>
              </w:rPr>
              <w:t xml:space="preserve">       </w:t>
            </w:r>
            <w:hyperlink w:history="true" r:id="Rb1fccf00c70d4e69">
              <w:r>
                <w:rPr>
                  <w:rStyle w:val="Hyperlink"/>
                  <w:color w:val="244061"/>
                </w:rPr>
                <w:t xml:space="preserve">Australian Commission on Safety and Quality in Health Care</w:t>
              </w:r>
            </w:hyperlink>
            <w:r>
              <w:rPr>
                <w:rStyle w:val="row-content"/>
                <w:color w:val="244061"/>
              </w:rPr>
              <w:t xml:space="preserve">, Standard 23/11/2016</w:t>
            </w:r>
          </w:p>
          <w:p>
            <w:pPr>
              <w:spacing w:before="0" w:after="0"/>
            </w:pPr>
            <w:r>
              <w:rPr>
                <w:rStyle w:val="row-content"/>
                <w:color w:val="244061"/>
              </w:rPr>
              <w:t xml:space="preserve">       </w:t>
            </w:r>
            <w:hyperlink w:history="true" r:id="R3bb92e4c3e5042a3">
              <w:r>
                <w:rPr>
                  <w:rStyle w:val="Hyperlink"/>
                  <w:color w:val="244061"/>
                </w:rPr>
                <w:t xml:space="preserve">National Health Performance Authority (retired)</w:t>
              </w:r>
            </w:hyperlink>
            <w:r>
              <w:rPr>
                <w:rStyle w:val="row-content"/>
                <w:color w:val="244061"/>
              </w:rPr>
              <w:t xml:space="preserve">, Retired 01/07/2016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65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 </w:t>
            </w:r>
          </w:p>
          <w:p>
            <w:pPr>
              <w:spacing w:after="160"/>
            </w:pPr>
            <w:r>
              <w:rPr>
                <w:rStyle w:val="row-content-rich-text"/>
              </w:rPr>
              <w:t xml:space="preserve">Presented as a number per 100,000 people, age standardised by Statistical Area Level 3</w:t>
            </w:r>
          </w:p>
          <w:p>
            <w:pPr>
              <w:spacing w:after="160"/>
            </w:pPr>
            <w:r>
              <w:rPr>
                <w:rStyle w:val="row-content-rich-text"/>
              </w:rPr>
              <w:t xml:space="preserve">Analysis by Statistical Area Level 3 (SA3) is based on postcode of usual residence of the patient which is based on the patient's Medicare enrolment postcode on the date the prescription was dispensed.</w:t>
            </w:r>
          </w:p>
          <w:p>
            <w:pPr>
              <w:spacing w:after="160"/>
            </w:pPr>
            <w:r>
              <w:rPr>
                <w:rStyle w:val="row-content-rich-text"/>
              </w:rPr>
              <w:t xml:space="preserve">SA3s where the total population was less than 2,500 or where the population of people aged 65 years and over was less than 200 are excluded.</w:t>
            </w:r>
          </w:p>
          <w:p>
            <w:pPr>
              <w:spacing w:after="160"/>
            </w:pPr>
            <w:r>
              <w:rPr>
                <w:rStyle w:val="row-content-rich-text"/>
              </w:rPr>
              <w:t xml:space="preserve">Suppression protocol for calculating age standardised rates:</w:t>
            </w:r>
          </w:p>
          <w:p>
            <w:pPr>
              <w:spacing w:after="160"/>
            </w:pPr>
            <w:r>
              <w:rPr>
                <w:rStyle w:val="row-content-rich-text"/>
              </w:rPr>
              <w:t xml:space="preserve"> </w:t>
            </w:r>
          </w:p>
          <w:tbl>
            <w:tblPr>
              <w:tblStyle w:val="TableGrid"/>
              <w:tblW w:w="5000" w:type="pct"/>
              <w:tblLayout w:type="autofit"/>
            </w:tblPr>
            <w:tblGrid>
              <w:gridCol/>
              <w:gridCol/>
            </w:tblGrid>
            <w:tr>
              <w:trPr/>
              <w:tc>
                <w:tcPr>
                  <w:tcW w:w="1000" w:type="pct"/>
                  <w:vAlign w:val="top"/>
                </w:tcPr>
                <w:p>
                  <w:pPr>
                    <w:spacing w:after="160"/>
                  </w:pPr>
                  <w:r>
                    <w:rPr>
                      <w:rStyle w:val="row-content-rich-text"/>
                    </w:rPr>
                    <w:t xml:space="preserve"> </w:t>
                  </w:r>
                </w:p>
                <w:p>
                  <w:pPr/>
                  <w:r>
                    <w:rPr>
                      <w:rStyle w:val="row-content-rich-text"/>
                    </w:rPr>
                    <w:t xml:space="preserve">Numerator</w:t>
                  </w:r>
                </w:p>
              </w:tc>
              <w:tc>
                <w:tcPr>
                  <w:tcW w:w="4000" w:type="pct"/>
                  <w:vAlign w:val="top"/>
                </w:tcPr>
                <w:p>
                  <w:r>
                    <w:t xml:space="preserve">Total prescriptions dispensed less than 20 (unrounded)</w:t>
                  </w:r>
                </w:p>
              </w:tc>
            </w:tr>
            <w:tr>
              <w:trPr/>
              <w:tc>
                <w:tcPr>
                  <w:tcW w:w="1000" w:type="pct"/>
                  <w:vAlign w:val="top"/>
                </w:tcPr>
                <w:p>
                  <w:r>
                    <w:t xml:space="preserve">Denominator</w:t>
                  </w:r>
                </w:p>
              </w:tc>
              <w:tc>
                <w:tcPr>
                  <w:tcW w:w="4000" w:type="pct"/>
                  <w:vAlign w:val="top"/>
                </w:tcPr>
                <w:p>
                  <w:r>
                    <w:t xml:space="preserve">ERP for one or more five year age groups less than 30</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100,000 x (Numerator ÷ Denominator), age standardised</w:t>
            </w:r>
          </w:p>
          <w:p>
            <w:pPr>
              <w:spacing w:after="160"/>
            </w:pPr>
            <w:r>
              <w:rPr>
                <w:rStyle w:val="row-content-rich-text"/>
              </w:rPr>
              <w:t xml:space="preserve">For more information about age-standardisation see</w:t>
            </w:r>
          </w:p>
          <w:p>
            <w:hyperlink w:history="true" r:id="Reac2e26d2e3a4710">
              <w:r>
                <w:rPr>
                  <w:rStyle w:val="Hyperlink"/>
                </w:rPr>
                <w:t xml:space="preserve">/content/index.phtml/itemId/327276</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PBS prescriptions dispensed for anticholinesterase medicines in 2013-14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35c2d8b71796419b">
              <w:r>
                <w:rPr>
                  <w:rStyle w:val="Hyperlink"/>
                </w:rPr>
                <w:t xml:space="preserve">Pharmaceutical Benefits Scheme (PBS) prescription—PBS item prescribed, code NN[NNN]A</w:t>
              </w:r>
            </w:hyperlink>
          </w:p>
          <w:p>
            <w:r>
              <w:rPr>
                <w:rStyle w:val="row-content"/>
                <w:b/>
              </w:rPr>
              <w:t xml:space="preserve">NMDS / DSS</w:t>
            </w:r>
          </w:p>
          <w:p>
            <w:hyperlink w:history="true" r:id="R65a335cde7104d34">
              <w:r>
                <w:rPr>
                  <w:rStyle w:val="Hyperlink"/>
                </w:rPr>
                <w:t xml:space="preserve">Pharmaceutical Benefits Scheme (PBS) state/territory data extract 2013-14</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bl>
            <w:tblPr>
              <w:tblStyle w:val="TableGrid"/>
              <w:tblW w:w="5000" w:type="pct"/>
              <w:tblLayout w:type="autofit"/>
            </w:tblPr>
            <w:tblGrid>
              <w:gridCol/>
              <w:gridCol/>
            </w:tblGrid>
            <w:tr>
              <w:trPr/>
              <w:tc>
                <w:tcPr>
                  <w:tcW w:w="3950" w:type="pct"/>
                  <w:vAlign w:val="top"/>
                </w:tcPr>
                <w:p>
                  <w:r>
                    <w:rPr>
                      <w:rStyle w:val="row-content"/>
                    </w:rPr>
                    <w:t xml:space="preserve"> </w:t>
                  </w:r>
                  <w:r>
                    <w:rPr>
                      <w:rStyle w:val="row-content"/>
                      <w:b/>
                    </w:rPr>
                    <w:t xml:space="preserve">PBS code</w:t>
                  </w:r>
                </w:p>
              </w:tc>
              <w:tc>
                <w:tcPr>
                  <w:tcW w:w="1000" w:type="pct"/>
                  <w:vAlign w:val="top"/>
                </w:tcPr>
                <w:p>
                  <w:r>
                    <w:rPr>
                      <w:b/>
                    </w:rPr>
                    <w:t xml:space="preserve">Description</w:t>
                  </w:r>
                </w:p>
              </w:tc>
            </w:tr>
            <w:tr>
              <w:trPr/>
              <w:tc>
                <w:tcPr>
                  <w:tcW w:w="3950" w:type="pct"/>
                  <w:vAlign w:val="top"/>
                </w:tcPr>
                <w:p>
                  <w:r>
                    <w:t xml:space="preserve">02479L, 02532G, 08495D, 08496E</w:t>
                  </w:r>
                </w:p>
              </w:tc>
              <w:tc>
                <w:tcPr>
                  <w:tcW w:w="1000" w:type="pct"/>
                  <w:vAlign w:val="top"/>
                </w:tcPr>
                <w:p>
                  <w:r>
                    <w:t xml:space="preserve">Donepezil</w:t>
                  </w:r>
                </w:p>
              </w:tc>
            </w:tr>
            <w:tr>
              <w:trPr/>
              <w:tc>
                <w:tcPr>
                  <w:tcW w:w="3950" w:type="pct"/>
                  <w:vAlign w:val="top"/>
                </w:tcPr>
                <w:p>
                  <w:r>
                    <w:t xml:space="preserve">02463P, 02531F, 02537M, 08770N, 08771P, 08772Q</w:t>
                  </w:r>
                </w:p>
              </w:tc>
              <w:tc>
                <w:tcPr>
                  <w:tcW w:w="1000" w:type="pct"/>
                  <w:vAlign w:val="top"/>
                </w:tcPr>
                <w:p>
                  <w:r>
                    <w:t xml:space="preserve">Galantamine</w:t>
                  </w:r>
                </w:p>
              </w:tc>
            </w:tr>
            <w:tr>
              <w:trPr/>
              <w:tc>
                <w:tcPr>
                  <w:tcW w:w="3950" w:type="pct"/>
                  <w:vAlign w:val="top"/>
                </w:tcPr>
                <w:p>
                  <w:r>
                    <w:t xml:space="preserve">02475G, 02476H, 02477J, 02493F, 02494G, 02526Y, 02551G, 08497F, 08498G, 08499H, 08500J, 08563Q, 09161E, 09162F</w:t>
                  </w:r>
                </w:p>
              </w:tc>
              <w:tc>
                <w:tcPr>
                  <w:tcW w:w="1000" w:type="pct"/>
                  <w:vAlign w:val="top"/>
                </w:tcPr>
                <w:p>
                  <w:r>
                    <w:t xml:space="preserve">Rivastigmine</w:t>
                  </w:r>
                </w:p>
              </w:tc>
            </w:tr>
          </w:tbl>
          <w:p>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population aged 65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6a3e51c15dbd451f">
              <w:r>
                <w:rPr>
                  <w:rStyle w:val="Hyperlink"/>
                </w:rPr>
                <w:t xml:space="preserve">Person—estimated resident population of Australia, total people N[N(7)]</w:t>
              </w:r>
            </w:hyperlink>
          </w:p>
          <w:p>
            <w:r>
              <w:rPr>
                <w:rStyle w:val="row-content"/>
                <w:b/>
              </w:rPr>
              <w:t xml:space="preserve">Data Source</w:t>
            </w:r>
          </w:p>
          <w:p>
            <w:hyperlink w:history="true" r:id="Rb27edf8b45724d48">
              <w:r>
                <w:rPr>
                  <w:rStyle w:val="Hyperlink"/>
                </w:rPr>
                <w:t xml:space="preserve">ABS Estimated resident population (total population)</w:t>
              </w:r>
            </w:hyperlink>
          </w:p>
          <w:p>
            <w:r>
              <w:rPr>
                <w:rStyle w:val="row-content"/>
                <w:b/>
              </w:rPr>
              <w:t xml:space="preserve">Guide for use</w:t>
            </w:r>
          </w:p>
          <w:p>
            <w:r>
              <w:rPr>
                <w:rStyle w:val="row-content"/>
              </w:rPr>
              <w:t xml:space="preserve"> </w:t>
            </w:r>
          </w:p>
          <w:p>
            <w:r>
              <w:rPr>
                <w:rStyle w:val="row-content"/>
              </w:rPr>
              <w:t xml:space="preserve">ABS Estimated resident population as at June 2001</w:t>
            </w:r>
          </w:p>
          <w:p>
            <w:r>
              <w:rPr>
                <w:rStyle w:val="row-content"/>
              </w:rPr>
              <w:t xml:space="preserve">Data source type: Census based plus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Statistical Area Level 3, which have been derived from </w:t>
            </w:r>
            <w:hyperlink w:history="true" r:id="R5829c478f08c4a3b">
              <w:r>
                <w:rPr>
                  <w:rStyle w:val="Hyperlink"/>
                </w:rPr>
                <w:t xml:space="preserve">Postcode—Australian (person)</w:t>
              </w:r>
            </w:hyperlink>
            <w:r>
              <w:rPr>
                <w:rStyle w:val="row-content-rich-text"/>
              </w:rPr>
              <w:t xml:space="preserve">: </w:t>
            </w:r>
          </w:p>
          <w:p>
            <w:pPr>
              <w:pStyle w:val="ListParagraph"/>
              <w:numPr>
                <w:ilvl w:val="0"/>
                <w:numId w:val="2"/>
              </w:numPr>
            </w:pPr>
            <w:r>
              <w:rPr>
                <w:rStyle w:val="row-content-rich-text"/>
              </w:rPr>
              <w:t xml:space="preserve">Statistical Area Level 3 (SA3s) are geographic areas defined in the ABS Australian Statistical Geography Standard (ASGS). The aim of SA3s is to create a standard framework for the analysis of ABS data at the regional level through clustering groups of SA2s that have similar regional characteristics. There are 333 spatial SA3s covering the whole of Australia without gaps or overlaps. They are designed to provide a regional breakdown of Australia. SA3s generally have a population of between 30,000 and 130,000 people. There are approximately 50 with fewer than 30,000 people and 35 with more than 130,000 as at 30 June 2011. For further information see the ABS publication, Australian Statistical Geography Standard (ASGS): Volume 1 – Main Structure and Greater Capital City Statistical Areas, July 2011 (cat. no. 1270.0.55.001).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763243e0c6364aec">
              <w:r>
                <w:rPr>
                  <w:rStyle w:val="Hyperlink"/>
                </w:rPr>
                <w:t xml:space="preserve">Person—age, total years N[NN]</w:t>
              </w:r>
            </w:hyperlink>
          </w:p>
          <w:p>
            <w:r>
              <w:rPr>
                <w:rStyle w:val="row-content"/>
                <w:b/>
              </w:rPr>
              <w:t xml:space="preserve">NMDS / DSS</w:t>
            </w:r>
          </w:p>
          <w:p>
            <w:hyperlink w:history="true" r:id="R41ab2a2d441e4b5e">
              <w:r>
                <w:rPr>
                  <w:rStyle w:val="Hyperlink"/>
                </w:rPr>
                <w:t xml:space="preserve">COMPLETE - Pharmaceutical Benefits Scheme (PBS) Pharmacy claim script detail</w:t>
              </w:r>
            </w:hyperlink>
          </w:p>
          <w:p>
            <w:r>
              <w:rPr>
                <w:rStyle w:val="row-content"/>
                <w:b/>
              </w:rPr>
              <w:t xml:space="preserve">Guide for use</w:t>
            </w:r>
          </w:p>
          <w:p>
            <w:r>
              <w:rPr>
                <w:rStyle w:val="row-content"/>
              </w:rPr>
              <w:t xml:space="preserve"> </w:t>
            </w:r>
          </w:p>
          <w:p>
            <w:r>
              <w:rPr>
                <w:rStyle w:val="row-content"/>
              </w:rPr>
              <w:t xml:space="preserve">Age is caculated using the patient's date of birth on their Medicare enrolement and the date the prescription was dispensed</w:t>
            </w:r>
          </w:p>
          <w:p>
            <w:r>
              <w:rPr>
                <w:rStyle w:val="row-content"/>
              </w:rPr>
              <w:t xml:space="preserve">Data are disaggregated by the following age groups:</w:t>
            </w:r>
          </w:p>
          <w:p>
            <w:pPr>
              <w:pStyle w:val="ListParagraph"/>
              <w:numPr>
                <w:ilvl w:val="0"/>
                <w:numId w:val="3"/>
              </w:numPr>
            </w:pPr>
            <w:r>
              <w:rPr>
                <w:rStyle w:val="row-content"/>
              </w:rPr>
              <w:t xml:space="preserve">65 years and over</w:t>
            </w:r>
          </w:p>
          <w:p>
            <w:r>
              <w:rPr>
                <w:rStyle w:val="row-content"/>
              </w:rPr>
              <w:t xml:space="preserve"> </w:t>
            </w:r>
          </w:p>
          <w:p>
            <w:r>
              <w:rPr>
                <w:rStyle w:val="row-content"/>
                <w:b/>
                <w:color w:val="000000"/>
              </w:rPr>
              <w:t xml:space="preserve">Data Element / Data Set</w:t>
            </w:r>
          </w:p>
          <w:p>
            <w:hyperlink w:history="true" r:id="R3560ffa5764f45aa">
              <w:r>
                <w:rPr>
                  <w:rStyle w:val="Hyperlink"/>
                </w:rPr>
                <w:t xml:space="preserve">Address—Australian postcode, Australian postcode code (Postcode datafile) {NNNN}</w:t>
              </w:r>
            </w:hyperlink>
          </w:p>
          <w:p>
            <w:r>
              <w:rPr>
                <w:rStyle w:val="row-content"/>
                <w:b/>
              </w:rPr>
              <w:t xml:space="preserve">NMDS / DSS</w:t>
            </w:r>
          </w:p>
          <w:p>
            <w:hyperlink w:history="true" r:id="R2280af0949b7450c">
              <w:r>
                <w:rPr>
                  <w:rStyle w:val="Hyperlink"/>
                </w:rPr>
                <w:t xml:space="preserve">COMPLETE - Pharmaceutical Benefits Scheme (PBS) Pharmacy claim script detail</w:t>
              </w:r>
            </w:hyperlink>
          </w:p>
          <w:p>
            <w:r>
              <w:rPr>
                <w:rStyle w:val="row-content"/>
                <w:b/>
              </w:rPr>
              <w:t xml:space="preserve">Guide for use</w:t>
            </w:r>
          </w:p>
          <w:p>
            <w:r>
              <w:rPr>
                <w:rStyle w:val="row-content"/>
              </w:rPr>
              <w:t xml:space="preserve"> </w:t>
            </w:r>
          </w:p>
          <w:p>
            <w:r>
              <w:rPr>
                <w:rStyle w:val="row-content"/>
              </w:rPr>
              <w:t xml:space="preserve">Postcode is based on the patient's Medicare enrolment postcode on the date the prescription was dispensed.</w:t>
            </w:r>
          </w:p>
          <w:p>
            <w:r>
              <w:rPr>
                <w:rStyle w:val="row-content"/>
              </w:rPr>
              <w:t xml:space="preserve">GPO postcodes 2001, 2124, 3001, 4001, 5001, 6843 excluded from the SA3 analysis but included in state/territory and national level analysis.</w:t>
            </w:r>
          </w:p>
          <w:p>
            <w:r>
              <w:rPr>
                <w:rStyle w:val="row-content"/>
              </w:rPr>
              <w:t xml:space="preserve">Data source type: Administrative by-product data</w:t>
            </w:r>
          </w:p>
          <w:p>
            <w:r>
              <w:rPr>
                <w:rStyle w:val="row-content"/>
              </w:rPr>
              <w:t xml:space="preserve">Used for disaggregation by Statistical Area Level 3.</w:t>
            </w:r>
          </w:p>
          <w:p>
            <w:r>
              <w:rPr>
                <w:rStyle w:val="row-content"/>
              </w:rPr>
              <w:t xml:space="preserve"> </w:t>
            </w:r>
          </w:p>
          <w:p>
            <w:r>
              <w:rPr>
                <w:rStyle w:val="row-content"/>
                <w:b/>
                <w:color w:val="000000"/>
              </w:rPr>
              <w:t xml:space="preserve">Data Element / Data Set</w:t>
            </w:r>
          </w:p>
          <w:p>
            <w:hyperlink w:history="true" r:id="R8dd3543acdcd4fba">
              <w:r>
                <w:rPr>
                  <w:rStyle w:val="Hyperlink"/>
                </w:rPr>
                <w:t xml:space="preserve">Address—statistical area, level 3 (SA3) code (ASGS 2011) NNNNN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Integer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Service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66356c8b2b4b4f12">
              <w:r>
                <w:rPr>
                  <w:rStyle w:val="Hyperlink"/>
                </w:rPr>
                <w:t xml:space="preserve">ABS Estimated resident population (total population)</w:t>
              </w:r>
            </w:hyperlink>
          </w:p>
          <w:p>
            <w:r>
              <w:rPr>
                <w:rStyle w:val="row-content"/>
                <w:b/>
              </w:rPr>
              <w:t xml:space="preserve">Frequency</w:t>
            </w:r>
          </w:p>
          <w:p>
            <w:r>
              <w:rPr>
                <w:rStyle w:val="row-content"/>
              </w:rPr>
              <w:t xml:space="preserve">Quarterly</w:t>
            </w:r>
          </w:p>
          <w:p>
            <w:r>
              <w:rPr>
                <w:rStyle w:val="row-content"/>
                <w:b/>
              </w:rPr>
              <w:t xml:space="preserve">Data quality statement</w:t>
            </w:r>
          </w:p>
          <w:p>
            <w:hyperlink w:history="true" r:id="R5c9ba1e7c7af4cf4">
              <w:r>
                <w:rPr>
                  <w:rStyle w:val="Hyperlink"/>
                </w:rPr>
                <w:t xml:space="preserve">ABS Estimated resident population (total population), QS</w:t>
              </w:r>
            </w:hyperlink>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Commission of Safety and Quality in Health Care's Atlas of Healthcare Variation, released November 2015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Department of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Commission of Safety and Quality in Health Care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 Performance Authority</w:t>
            </w:r>
          </w:p>
          <w:p>
            <w:r>
              <w:br/>
            </w:r>
          </w:p>
        </w:tc>
      </w:tr>
    </w:tbl>
    <w:p>
      <w:r>
        <w:br/>
      </w:r>
    </w:p>
    <w:sectPr>
      <w:footerReference xmlns:r="http://schemas.openxmlformats.org/officeDocument/2006/relationships" w:type="default" r:id="R6508a017ee7442c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611658</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9138c46e4334b4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508a017ee7442cf" /><Relationship Type="http://schemas.openxmlformats.org/officeDocument/2006/relationships/header" Target="/word/header1.xml" Id="R4d6c832adee14766" /><Relationship Type="http://schemas.openxmlformats.org/officeDocument/2006/relationships/settings" Target="/word/settings.xml" Id="Rbbcae79d469c4c18" /><Relationship Type="http://schemas.openxmlformats.org/officeDocument/2006/relationships/styles" Target="/word/styles.xml" Id="R7adbc56180da48a0" /><Relationship Type="http://schemas.openxmlformats.org/officeDocument/2006/relationships/hyperlink" Target="https://meteor.aihw.gov.au/RegistrationAuthority/18" TargetMode="External" Id="R2359535b51214d2b" /><Relationship Type="http://schemas.openxmlformats.org/officeDocument/2006/relationships/hyperlink" Target="https://meteor.aihw.gov.au/RegistrationAuthority/8" TargetMode="External" Id="R5882c7bcab794b6f" /><Relationship Type="http://schemas.openxmlformats.org/officeDocument/2006/relationships/hyperlink" Target="https://meteor.aihw.gov.au/content/623427" TargetMode="External" Id="Raa866b6c29024317" /><Relationship Type="http://schemas.openxmlformats.org/officeDocument/2006/relationships/hyperlink" Target="https://meteor.aihw.gov.au/RegistrationAuthority/18" TargetMode="External" Id="Rb1fccf00c70d4e69" /><Relationship Type="http://schemas.openxmlformats.org/officeDocument/2006/relationships/hyperlink" Target="https://meteor.aihw.gov.au/RegistrationAuthority/8" TargetMode="External" Id="R3bb92e4c3e5042a3" /><Relationship Type="http://schemas.openxmlformats.org/officeDocument/2006/relationships/hyperlink" Target="https://meteor.aihw.gov.au/content/327276" TargetMode="External" Id="Reac2e26d2e3a4710" /><Relationship Type="http://schemas.openxmlformats.org/officeDocument/2006/relationships/hyperlink" Target="https://meteor.aihw.gov.au/content/600778" TargetMode="External" Id="R35c2d8b71796419b" /><Relationship Type="http://schemas.openxmlformats.org/officeDocument/2006/relationships/hyperlink" Target="https://meteor.aihw.gov.au/content/602524" TargetMode="External" Id="R65a335cde7104d34" /><Relationship Type="http://schemas.openxmlformats.org/officeDocument/2006/relationships/hyperlink" Target="https://meteor.aihw.gov.au/content/388656" TargetMode="External" Id="R6a3e51c15dbd451f" /><Relationship Type="http://schemas.openxmlformats.org/officeDocument/2006/relationships/hyperlink" Target="https://meteor.aihw.gov.au/content/393625" TargetMode="External" Id="Rb27edf8b45724d48" /><Relationship Type="http://schemas.openxmlformats.org/officeDocument/2006/relationships/hyperlink" Target="https://meteor.aihw.gov.au/content/287224" TargetMode="External" Id="R5829c478f08c4a3b" /><Relationship Type="http://schemas.openxmlformats.org/officeDocument/2006/relationships/numbering" Target="/word/numbering.xml" Id="R78f9f1c291a3466c" /><Relationship Type="http://schemas.openxmlformats.org/officeDocument/2006/relationships/hyperlink" Target="https://meteor.aihw.gov.au/content/303794" TargetMode="External" Id="R763243e0c6364aec" /><Relationship Type="http://schemas.openxmlformats.org/officeDocument/2006/relationships/hyperlink" Target="https://meteor.aihw.gov.au/content/601300" TargetMode="External" Id="R41ab2a2d441e4b5e" /><Relationship Type="http://schemas.openxmlformats.org/officeDocument/2006/relationships/hyperlink" Target="https://meteor.aihw.gov.au/content/429894" TargetMode="External" Id="R3560ffa5764f45aa" /><Relationship Type="http://schemas.openxmlformats.org/officeDocument/2006/relationships/hyperlink" Target="https://meteor.aihw.gov.au/content/601300" TargetMode="External" Id="R2280af0949b7450c" /><Relationship Type="http://schemas.openxmlformats.org/officeDocument/2006/relationships/hyperlink" Target="https://meteor.aihw.gov.au/content/457293" TargetMode="External" Id="R8dd3543acdcd4fba" /><Relationship Type="http://schemas.openxmlformats.org/officeDocument/2006/relationships/hyperlink" Target="https://meteor.aihw.gov.au/content/393625" TargetMode="External" Id="R66356c8b2b4b4f12" /><Relationship Type="http://schemas.openxmlformats.org/officeDocument/2006/relationships/hyperlink" Target="https://meteor.aihw.gov.au/content/449216" TargetMode="External" Id="R5c9ba1e7c7af4cf4" /></Relationships>
</file>

<file path=word/_rels/header1.xml.rels>&#65279;<?xml version="1.0" encoding="utf-8"?><Relationships xmlns="http://schemas.openxmlformats.org/package/2006/relationships"><Relationship Type="http://schemas.openxmlformats.org/officeDocument/2006/relationships/image" Target="/media/image.png" Id="Rc9138c46e4334b4f" /></Relationships>
</file>