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c829e89e63493e"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12a—Attainment of Year 12 or equivalent (Census data),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12a—Attainment of Year 12 or equivalent (Census data),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12a—Attainment of Year 12 or equivalent (Census data),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611192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14818f00ef4319">
              <w:r>
                <w:rPr>
                  <w:rStyle w:val="Hyperlink"/>
                  <w:color w:val="244061"/>
                </w:rPr>
                <w:t xml:space="preserve">Indigenous</w:t>
              </w:r>
            </w:hyperlink>
            <w:r>
              <w:rPr>
                <w:rStyle w:val="row-content"/>
                <w:color w:val="244061"/>
              </w:rPr>
              <w:t xml:space="preserve">, Superseded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indicator has two measures:</w:t>
            </w:r>
          </w:p>
          <w:p>
            <w:pPr>
              <w:spacing w:after="160"/>
            </w:pPr>
            <w:r>
              <w:rPr>
                <w:rStyle w:val="row-content-rich-text"/>
              </w:rPr>
              <w:t xml:space="preserve">(a) Proportion of the 20–24 year old population having attained at least Year 12 or equivalent or an Australian Qualifications Framework (AQF) Certificate level II or above, by Indigenous status.</w:t>
            </w:r>
          </w:p>
          <w:p>
            <w:pPr/>
            <w:r>
              <w:rPr>
                <w:rStyle w:val="row-content-rich-text"/>
              </w:rPr>
              <w:t xml:space="preserve">(b) Year 12 certification,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48e1c8da9e24413">
              <w:r>
                <w:rPr>
                  <w:rStyle w:val="Hyperlink"/>
                </w:rPr>
                <w:t xml:space="preserve">National Indigenous Reform Agreement (2016)</w:t>
              </w:r>
            </w:hyperlink>
          </w:p>
          <w:p>
            <w:pPr>
              <w:pStyle w:val="registration-status"/>
              <w:spacing w:before="0" w:after="0"/>
            </w:pPr>
            <w:hyperlink w:history="true" r:id="R4eda70e09149418d">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c79f0d82b28401b">
              <w:r>
                <w:rPr>
                  <w:rStyle w:val="Hyperlink"/>
                </w:rPr>
                <w:t xml:space="preserve">Schooling promotes social inclusion and reduces the educational disadvantage of children, especially Indigenous children</w:t>
              </w:r>
            </w:hyperlink>
          </w:p>
          <w:p>
            <w:pPr>
              <w:pStyle w:val="registration-status"/>
              <w:spacing w:before="0" w:after="0"/>
            </w:pPr>
            <w:hyperlink w:history="true" r:id="Re8b25f1c62cd46fb">
              <w:r>
                <w:rPr>
                  <w:rStyle w:val="Hyperlink"/>
                  <w:color w:val="244061"/>
                </w:rPr>
                <w:t xml:space="preserve">Indigenous</w:t>
              </w:r>
            </w:hyperlink>
            <w:r>
              <w:rPr>
                <w:rStyle w:val="row-content"/>
                <w:color w:val="244061"/>
              </w:rPr>
              <w:t xml:space="preserve">, Superseded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and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People aged 20–24 years who have completed Year 12 or equivalent or whose level of highest non-school qualification is at AQF Certificate level II or above.</w:t>
            </w:r>
          </w:p>
          <w:p>
            <w:pPr/>
            <w:r>
              <w:rPr>
                <w:rStyle w:val="row-content-rich-text"/>
              </w:rPr>
              <w:t xml:space="preserve">b) 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2890d41bd1f54f5d">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r>
              <w:rPr>
                <w:rStyle w:val="row-content"/>
              </w:rPr>
              <w:t xml:space="preserve">Person—level of highest educational attainment</w:t>
            </w:r>
          </w:p>
          <w:p>
            <w:r>
              <w:rPr>
                <w:rStyle w:val="row-content"/>
                <w:b/>
              </w:rPr>
              <w:t xml:space="preserve">Data Source</w:t>
            </w:r>
          </w:p>
          <w:p>
            <w:hyperlink w:history="true" r:id="R9993cc61ecfa4777">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Census count of people aged 20–24 years.</w:t>
            </w:r>
          </w:p>
          <w:p>
            <w:pPr/>
            <w:r>
              <w:rPr>
                <w:rStyle w:val="row-content-rich-text"/>
              </w:rPr>
              <w:t xml:space="preserve">(b) 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077215fe53a64ee3">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remoteness area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Person—area of usual residence, statistical area level 1 (SA1) (ASGS 2011)</w:t>
            </w:r>
          </w:p>
          <w:p>
            <w:r>
              <w:rPr>
                <w:rStyle w:val="row-content"/>
                <w:b/>
              </w:rPr>
              <w:t xml:space="preserve">Data Source</w:t>
            </w:r>
          </w:p>
          <w:p>
            <w:hyperlink w:history="true" r:id="R94c0f556cdd149cb">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20c8a5e072634d32">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updated data are available for this cycle of reporting.</w:t>
            </w:r>
          </w:p>
          <w:p>
            <w:pPr>
              <w:spacing w:after="160"/>
            </w:pPr>
            <w:r>
              <w:rPr>
                <w:rStyle w:val="row-content-rich-text"/>
                <w:u w:val="single"/>
              </w:rPr>
              <w:t xml:space="preserve">Measure (a):</w:t>
            </w:r>
          </w:p>
          <w:p>
            <w:pPr>
              <w:spacing w:after="160"/>
            </w:pPr>
            <w:r>
              <w:rPr>
                <w:rStyle w:val="row-content-rich-text"/>
              </w:rPr>
              <w:t xml:space="preserve">The most recent data available are from the ABS 2011 Census.</w:t>
            </w:r>
          </w:p>
          <w:p>
            <w:pPr>
              <w:spacing w:after="160"/>
            </w:pPr>
            <w:r>
              <w:rPr>
                <w:rStyle w:val="row-content-rich-text"/>
              </w:rPr>
              <w:t xml:space="preserve">The baseline report reported data, for measure (a) only, are from the 2006 Census.</w:t>
            </w:r>
          </w:p>
          <w:p>
            <w:pPr>
              <w:spacing w:after="160"/>
            </w:pPr>
            <w:r>
              <w:rPr>
                <w:rStyle w:val="row-content-rich-text"/>
              </w:rPr>
              <w:t xml:space="preserve">People whose level of study is determined to be certificate level but is not able to be further defined (that is, Certificate nfd) are assumed to have attained below Certificate level II and are therefore excluded from the numerator. Certificate level II or above includes ‘Certificate I or II nfd’ but excludes ‘Certificate nfd’.</w:t>
            </w:r>
          </w:p>
          <w:p>
            <w:pPr>
              <w:spacing w:after="160"/>
            </w:pPr>
            <w:r>
              <w:rPr>
                <w:rStyle w:val="row-content-rich-text"/>
              </w:rPr>
              <w:t xml:space="preserve">People who did not state if they had a non-school qualification (or whose level of education was inadequately described) and did not have Year 12 are excluded from the calculation (numerator and denominator). People who did not state their highest year of school and did not have a qualification at Certificate level II or above are also excluded.</w:t>
            </w:r>
          </w:p>
          <w:p>
            <w:pPr>
              <w:spacing w:after="160"/>
            </w:pPr>
            <w:r>
              <w:rPr>
                <w:rStyle w:val="row-content-rich-text"/>
              </w:rPr>
              <w:t xml:space="preserve">The Indigenous undercount in the Census may introduce bias into the results for Indigenous disaggregation, which may affect comparability across states and territories.</w:t>
            </w:r>
          </w:p>
          <w:p>
            <w:pPr>
              <w:spacing w:after="160"/>
            </w:pPr>
            <w:r>
              <w:rPr>
                <w:rStyle w:val="row-content-rich-text"/>
              </w:rPr>
              <w:t xml:space="preserve">Data disaggregated by remoteness area were reported for the first time for the 2014 report.</w:t>
            </w:r>
          </w:p>
          <w:p>
            <w:pPr>
              <w:spacing w:after="160"/>
            </w:pPr>
            <w:r>
              <w:rPr>
                <w:rStyle w:val="row-content-rich-text"/>
              </w:rPr>
              <w:t xml:space="preserve">Baseline year for NIRA target (Halve the gap for Indigenous people aged 20–24 in Year 12 attainment or equivalent attainment rates by 2020) is 2006; baseline year for this measure is 2006; target year is 2020.</w:t>
            </w:r>
          </w:p>
          <w:p>
            <w:pPr>
              <w:spacing w:after="160"/>
            </w:pPr>
            <w:r>
              <w:rPr>
                <w:rStyle w:val="row-content-rich-text"/>
                <w:u w:val="single"/>
              </w:rPr>
              <w:t xml:space="preserve">Measure (b)</w:t>
            </w:r>
          </w:p>
          <w:p>
            <w:pPr/>
            <w:r>
              <w:rPr>
                <w:rStyle w:val="row-content-rich-text"/>
              </w:rPr>
              <w:t xml:space="preserve">No data are available for reporting for measure (b) for the 2016 reporting cycle, as this measure is yet to be developed.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47fccd3053b4a24">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7c760da8b15450c">
              <w:r>
                <w:rPr>
                  <w:rStyle w:val="Hyperlink"/>
                </w:rPr>
                <w:t xml:space="preserve">ABS 2011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804a01bb7ca4193">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cd43dee974346b1">
              <w:r>
                <w:rPr>
                  <w:rStyle w:val="Hyperlink"/>
                </w:rPr>
                <w:t xml:space="preserve">National Indigenous Reform Agreement: PI 12a-Attainment of Year 12 or equivalent (Census data), 2015</w:t>
              </w:r>
            </w:hyperlink>
          </w:p>
          <w:p>
            <w:pPr>
              <w:pStyle w:val="registration-status"/>
              <w:spacing w:before="0" w:after="0"/>
            </w:pPr>
            <w:hyperlink w:history="true" r:id="R470aeaf59f5743ff">
              <w:r>
                <w:rPr>
                  <w:rStyle w:val="Hyperlink"/>
                  <w:color w:val="244061"/>
                </w:rPr>
                <w:t xml:space="preserve">Indigenous</w:t>
              </w:r>
            </w:hyperlink>
            <w:r>
              <w:rPr>
                <w:rStyle w:val="row-content"/>
                <w:color w:val="244061"/>
              </w:rPr>
              <w:t xml:space="preserve">, Superseded 18/11/2015</w:t>
            </w:r>
          </w:p>
          <w:p>
            <w:r>
              <w:br/>
            </w:r>
            <w:r>
              <w:rPr>
                <w:rStyle w:val="row-content"/>
              </w:rPr>
              <w:t xml:space="preserve">Has been superseded by </w:t>
            </w:r>
            <w:hyperlink w:history="true" r:id="R029a04df0a99488f">
              <w:r>
                <w:rPr>
                  <w:rStyle w:val="Hyperlink"/>
                </w:rPr>
                <w:t xml:space="preserve">National Indigenous Reform Agreement: PI 12a—Attainment of Year 12 or equivalent (Census data), 2017</w:t>
              </w:r>
            </w:hyperlink>
          </w:p>
          <w:p>
            <w:pPr>
              <w:pStyle w:val="registration-status"/>
              <w:spacing w:before="0" w:after="0"/>
            </w:pPr>
            <w:hyperlink w:history="true" r:id="R92d15c86f4b54bde">
              <w:r>
                <w:rPr>
                  <w:rStyle w:val="Hyperlink"/>
                  <w:color w:val="244061"/>
                </w:rPr>
                <w:t xml:space="preserve">Indigenous</w:t>
              </w:r>
            </w:hyperlink>
            <w:r>
              <w:rPr>
                <w:rStyle w:val="row-content"/>
                <w:color w:val="244061"/>
              </w:rPr>
              <w:t xml:space="preserve">, Superseded 06/06/2017</w:t>
            </w:r>
          </w:p>
          <w:p>
            <w:r>
              <w:br/>
            </w:r>
            <w:r>
              <w:rPr>
                <w:rStyle w:val="row-content"/>
              </w:rPr>
              <w:t xml:space="preserve">See also </w:t>
            </w:r>
            <w:hyperlink w:history="true" r:id="R016927b946c9488e">
              <w:r>
                <w:rPr>
                  <w:rStyle w:val="Hyperlink"/>
                </w:rPr>
                <w:t xml:space="preserve">National Indigenous Reform Agreement: PI 12b—Attainment of Year 12 or equivalent (survey data), 2016</w:t>
              </w:r>
            </w:hyperlink>
          </w:p>
          <w:p>
            <w:pPr>
              <w:pStyle w:val="registration-status"/>
              <w:spacing w:before="0" w:after="0"/>
            </w:pPr>
            <w:hyperlink w:history="true" r:id="Ra186e28329f6491b">
              <w:r>
                <w:rPr>
                  <w:rStyle w:val="Hyperlink"/>
                  <w:color w:val="244061"/>
                </w:rPr>
                <w:t xml:space="preserve">Indigenous</w:t>
              </w:r>
            </w:hyperlink>
            <w:r>
              <w:rPr>
                <w:rStyle w:val="row-content"/>
                <w:color w:val="244061"/>
              </w:rPr>
              <w:t xml:space="preserve">, Superseded 01/07/2016</w:t>
            </w:r>
          </w:p>
          <w:p>
            <w:r>
              <w:br/>
            </w:r>
          </w:p>
        </w:tc>
      </w:tr>
    </w:tbl>
    <w:p>
      <w:r>
        <w:br/>
      </w:r>
    </w:p>
    <w:sectPr>
      <w:footerReference xmlns:r="http://schemas.openxmlformats.org/officeDocument/2006/relationships" w:type="default" r:id="R21ee9fd4587e42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611192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fd88556c3a45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ee9fd4587e4246" /><Relationship Type="http://schemas.openxmlformats.org/officeDocument/2006/relationships/header" Target="/word/header1.xml" Id="R7258d42265c14f37" /><Relationship Type="http://schemas.openxmlformats.org/officeDocument/2006/relationships/settings" Target="/word/settings.xml" Id="Rd23c08a405704f41" /><Relationship Type="http://schemas.openxmlformats.org/officeDocument/2006/relationships/styles" Target="/word/styles.xml" Id="Rf602fc819f4240c2" /><Relationship Type="http://schemas.openxmlformats.org/officeDocument/2006/relationships/hyperlink" Target="https://meteor.aihw.gov.au/RegistrationAuthority/6" TargetMode="External" Id="R0414818f00ef4319" /><Relationship Type="http://schemas.openxmlformats.org/officeDocument/2006/relationships/hyperlink" Target="https://meteor.aihw.gov.au/content/611122" TargetMode="External" Id="R648e1c8da9e24413" /><Relationship Type="http://schemas.openxmlformats.org/officeDocument/2006/relationships/hyperlink" Target="https://meteor.aihw.gov.au/RegistrationAuthority/6" TargetMode="External" Id="R4eda70e09149418d" /><Relationship Type="http://schemas.openxmlformats.org/officeDocument/2006/relationships/hyperlink" Target="https://meteor.aihw.gov.au/content/396173" TargetMode="External" Id="R1c79f0d82b28401b" /><Relationship Type="http://schemas.openxmlformats.org/officeDocument/2006/relationships/hyperlink" Target="https://meteor.aihw.gov.au/RegistrationAuthority/6" TargetMode="External" Id="Re8b25f1c62cd46fb" /><Relationship Type="http://schemas.openxmlformats.org/officeDocument/2006/relationships/hyperlink" Target="https://meteor.aihw.gov.au/content/481876" TargetMode="External" Id="R2890d41bd1f54f5d" /><Relationship Type="http://schemas.openxmlformats.org/officeDocument/2006/relationships/hyperlink" Target="https://meteor.aihw.gov.au/content/481876" TargetMode="External" Id="R9993cc61ecfa4777" /><Relationship Type="http://schemas.openxmlformats.org/officeDocument/2006/relationships/hyperlink" Target="https://meteor.aihw.gov.au/content/481876" TargetMode="External" Id="R077215fe53a64ee3" /><Relationship Type="http://schemas.openxmlformats.org/officeDocument/2006/relationships/hyperlink" Target="https://meteor.aihw.gov.au/content/481876" TargetMode="External" Id="R94c0f556cdd149cb" /><Relationship Type="http://schemas.openxmlformats.org/officeDocument/2006/relationships/hyperlink" Target="https://meteor.aihw.gov.au/content/481876" TargetMode="External" Id="R20c8a5e072634d32" /><Relationship Type="http://schemas.openxmlformats.org/officeDocument/2006/relationships/hyperlink" Target="https://meteor.aihw.gov.au/content/410674" TargetMode="External" Id="R147fccd3053b4a24" /><Relationship Type="http://schemas.openxmlformats.org/officeDocument/2006/relationships/hyperlink" Target="https://meteor.aihw.gov.au/content/481876" TargetMode="External" Id="R27c760da8b15450c" /><Relationship Type="http://schemas.openxmlformats.org/officeDocument/2006/relationships/hyperlink" Target="https://meteor.aihw.gov.au/content/410271" TargetMode="External" Id="Rd804a01bb7ca4193" /><Relationship Type="http://schemas.openxmlformats.org/officeDocument/2006/relationships/hyperlink" Target="https://meteor.aihw.gov.au/content/579092" TargetMode="External" Id="R6cd43dee974346b1" /><Relationship Type="http://schemas.openxmlformats.org/officeDocument/2006/relationships/hyperlink" Target="https://meteor.aihw.gov.au/RegistrationAuthority/6" TargetMode="External" Id="R470aeaf59f5743ff" /><Relationship Type="http://schemas.openxmlformats.org/officeDocument/2006/relationships/hyperlink" Target="https://meteor.aihw.gov.au/content/645405" TargetMode="External" Id="R029a04df0a99488f" /><Relationship Type="http://schemas.openxmlformats.org/officeDocument/2006/relationships/hyperlink" Target="https://meteor.aihw.gov.au/RegistrationAuthority/6" TargetMode="External" Id="R92d15c86f4b54bde" /><Relationship Type="http://schemas.openxmlformats.org/officeDocument/2006/relationships/hyperlink" Target="https://meteor.aihw.gov.au/content/611195" TargetMode="External" Id="R016927b946c9488e" /><Relationship Type="http://schemas.openxmlformats.org/officeDocument/2006/relationships/hyperlink" Target="https://meteor.aihw.gov.au/RegistrationAuthority/6" TargetMode="External" Id="Ra186e28329f6491b" /></Relationships>
</file>

<file path=word/_rels/header1.xml.rels>&#65279;<?xml version="1.0" encoding="utf-8"?><Relationships xmlns="http://schemas.openxmlformats.org/package/2006/relationships"><Relationship Type="http://schemas.openxmlformats.org/officeDocument/2006/relationships/image" Target="/media/image.png" Id="R6efd88556c3a45ac" /></Relationships>
</file>