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9df2eacaf442b" /></Relationships>
</file>

<file path=word/document.xml><?xml version="1.0" encoding="utf-8"?>
<w:document xmlns:r="http://schemas.openxmlformats.org/officeDocument/2006/relationships" xmlns:w="http://schemas.openxmlformats.org/wordprocessingml/2006/main">
  <w:body>
    <w:p>
      <w:pPr>
        <w:pStyle w:val="Title"/>
      </w:pPr>
      <w:r>
        <w:t>Service event—Medicare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diagnostic imaging multiple services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ea52697ba416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d08e402686964808">
              <w:r>
                <w:rPr>
                  <w:rStyle w:val="Hyperlink"/>
                  <w:b/>
                </w:rPr>
                <w:t xml:space="preserve">provider stem number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98600b981a4de0">
              <w:r>
                <w:rPr>
                  <w:rStyle w:val="Hyperlink"/>
                </w:rPr>
                <w:t xml:space="preserve">Service event—Medicare diagnostic imaging multiple services rule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5f773837f426b">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32d42095d0174606">
              <w:r>
                <w:rPr>
                  <w:rStyle w:val="Hyperlink"/>
                  <w:b/>
                </w:rPr>
                <w:t xml:space="preserve">provider stem number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e0f29066c7473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8a75cea0324310">
              <w:r>
                <w:rPr>
                  <w:rStyle w:val="Hyperlink"/>
                </w:rPr>
                <w:t xml:space="preserve">Medicare diagnostic imaging multiple services rule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2bb40f8a624756">
              <w:r>
                <w:rPr>
                  <w:rStyle w:val="Hyperlink"/>
                </w:rPr>
                <w:t xml:space="preserve">Medicare diagnostic imaging multiple services rule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b31b05c2d424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processing claims where multiple services are performed on a patient on the same date of service and by the same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ed6c1144c346e9">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607ea8de581640c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DIMSR</w:t>
            </w:r>
          </w:p>
          <w:p>
            <w:r>
              <w:br/>
            </w:r>
            <w:r>
              <w:br/>
            </w:r>
          </w:p>
        </w:tc>
      </w:tr>
    </w:tbl>
    <w:p/>
    <w:tbl>
      <w:tblPr>
        <w:tblStyle w:val="TableGrid"/>
        <w:tblW w:w="0" w:type="auto"/>
      </w:tblPr>
    </w:tbl>
    <w:p>
      <w:r>
        <w:br/>
      </w:r>
    </w:p>
    <w:sectPr>
      <w:footerReference xmlns:r="http://schemas.openxmlformats.org/officeDocument/2006/relationships" w:type="default" r:id="R25fabae94299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66852a462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abae9429940a2" /><Relationship Type="http://schemas.openxmlformats.org/officeDocument/2006/relationships/header" Target="/word/header1.xml" Id="R981a8d5945554aca" /><Relationship Type="http://schemas.openxmlformats.org/officeDocument/2006/relationships/settings" Target="/word/settings.xml" Id="R0212eb6586284834" /><Relationship Type="http://schemas.openxmlformats.org/officeDocument/2006/relationships/styles" Target="/word/styles.xml" Id="R56f4731bd4b6471e" /><Relationship Type="http://schemas.openxmlformats.org/officeDocument/2006/relationships/hyperlink" Target="https://meteor.aihw.gov.au/RegistrationAuthority/10" TargetMode="External" Id="Rf08ea52697ba4164" /><Relationship Type="http://schemas.openxmlformats.org/officeDocument/2006/relationships/hyperlink" Target="https://meteor.aihw.gov.au/content/609680" TargetMode="External" Id="Rd08e402686964808" /><Relationship Type="http://schemas.openxmlformats.org/officeDocument/2006/relationships/hyperlink" Target="https://meteor.aihw.gov.au/content/609641" TargetMode="External" Id="R5898600b981a4de0" /><Relationship Type="http://schemas.openxmlformats.org/officeDocument/2006/relationships/hyperlink" Target="https://meteor.aihw.gov.au/RegistrationAuthority/10" TargetMode="External" Id="Ra815f773837f426b" /><Relationship Type="http://schemas.openxmlformats.org/officeDocument/2006/relationships/hyperlink" Target="https://meteor.aihw.gov.au/content/609680" TargetMode="External" Id="R32d42095d0174606" /><Relationship Type="http://schemas.openxmlformats.org/officeDocument/2006/relationships/hyperlink" Target="https://meteor.aihw.gov.au/content/320989" TargetMode="External" Id="R42e0f29066c7473a" /><Relationship Type="http://schemas.openxmlformats.org/officeDocument/2006/relationships/hyperlink" Target="https://meteor.aihw.gov.au/content/609639" TargetMode="External" Id="R5b8a75cea0324310" /><Relationship Type="http://schemas.openxmlformats.org/officeDocument/2006/relationships/hyperlink" Target="https://meteor.aihw.gov.au/content/609630" TargetMode="External" Id="R4b2bb40f8a624756" /><Relationship Type="http://schemas.openxmlformats.org/officeDocument/2006/relationships/hyperlink" Target="https://meteor.aihw.gov.au/RegistrationAuthority/10" TargetMode="External" Id="Raedb31b05c2d424d" /><Relationship Type="http://schemas.openxmlformats.org/officeDocument/2006/relationships/hyperlink" Target="https://meteor.aihw.gov.au/content/603356" TargetMode="External" Id="R5eed6c1144c346e9" /><Relationship Type="http://schemas.openxmlformats.org/officeDocument/2006/relationships/hyperlink" Target="https://meteor.aihw.gov.au/RegistrationAuthority/10" TargetMode="External" Id="R607ea8de581640c0" /></Relationships>
</file>

<file path=word/_rels/header1.xml.rels>&#65279;<?xml version="1.0" encoding="utf-8"?><Relationships xmlns="http://schemas.openxmlformats.org/package/2006/relationships"><Relationship Type="http://schemas.openxmlformats.org/officeDocument/2006/relationships/image" Target="/media/image.png" Id="R9a966852a46244ed" /></Relationships>
</file>