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357f738a6443ca" /></Relationships>
</file>

<file path=word/document.xml><?xml version="1.0" encoding="utf-8"?>
<w:document xmlns:r="http://schemas.openxmlformats.org/officeDocument/2006/relationships" xmlns:w="http://schemas.openxmlformats.org/wordprocessingml/2006/main">
  <w:body>
    <w:p>
      <w:pPr>
        <w:pStyle w:val="Title"/>
      </w:pPr>
      <w:r>
        <w:t>Service event—Medicare multiple procedure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multiple procedure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procedure rule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ec77ee81b403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multiple operation rule or multiple anaesthetic rule applied when calculating benefits for the service which has been provided by the same practitioner to the same patient on the same date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ab7a984778473b">
              <w:r>
                <w:rPr>
                  <w:rStyle w:val="Hyperlink"/>
                </w:rPr>
                <w:t xml:space="preserve">Service event—Medicare multiple procedure rule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d4c63695f14f85">
              <w:r>
                <w:rPr>
                  <w:rStyle w:val="Hyperlink"/>
                </w:rPr>
                <w:t xml:space="preserve">Medicare multiple procedure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MOP Rule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MOP Rule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MOP Rule 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MOP Rule A</w:t>
            </w:r>
          </w:p>
          <w:p>
            <w:pPr>
              <w:spacing w:after="160"/>
            </w:pPr>
            <w:r>
              <w:rPr>
                <w:rStyle w:val="row-content-rich-text"/>
              </w:rPr>
              <w:t xml:space="preserve">The high fee item of which MOP Rule A is applied.</w:t>
            </w:r>
          </w:p>
          <w:p>
            <w:pPr>
              <w:spacing w:after="160"/>
            </w:pPr>
            <w:r>
              <w:rPr>
                <w:rStyle w:val="row-content-rich-text"/>
              </w:rPr>
              <w:t xml:space="preserve">CODE B   MOP Rule B</w:t>
            </w:r>
          </w:p>
          <w:p>
            <w:pPr>
              <w:spacing w:after="160"/>
            </w:pPr>
            <w:r>
              <w:rPr>
                <w:rStyle w:val="row-content-rich-text"/>
              </w:rPr>
              <w:t xml:space="preserve">The secondary fee item of which MOP Rule B is applied.</w:t>
            </w:r>
          </w:p>
          <w:p>
            <w:pPr>
              <w:spacing w:after="160"/>
            </w:pPr>
            <w:r>
              <w:rPr>
                <w:rStyle w:val="row-content-rich-text"/>
              </w:rPr>
              <w:t xml:space="preserve">CODE C   MOP Rule C</w:t>
            </w:r>
          </w:p>
          <w:p>
            <w:pPr>
              <w:spacing w:after="160"/>
            </w:pPr>
            <w:r>
              <w:rPr>
                <w:rStyle w:val="row-content-rich-text"/>
              </w:rPr>
              <w:t xml:space="preserve">The lower fee item of which MOP Rule C is applied.</w:t>
            </w:r>
          </w:p>
          <w:p>
            <w:pPr>
              <w:spacing w:after="160"/>
            </w:pPr>
            <w:r>
              <w:rPr>
                <w:rStyle w:val="row-content-rich-text"/>
              </w:rPr>
              <w:t xml:space="preserve">The fees for two or more operations, listed in Group T8 (other than Subgroup 12 of that Group), performed on a patient on the one occasion (except as provided in paragraph T8.2.3) are calculated by the following rule:</w:t>
            </w:r>
          </w:p>
          <w:p>
            <w:pPr>
              <w:pStyle w:val="ListParagraph"/>
              <w:numPr>
                <w:ilvl w:val="0"/>
                <w:numId w:val="2"/>
              </w:numPr>
            </w:pPr>
            <w:r>
              <w:rPr>
                <w:rStyle w:val="row-content-rich-text"/>
              </w:rPr>
              <w:t xml:space="preserve">100% for the item with the greatest Schedule fee</w:t>
            </w:r>
          </w:p>
          <w:p>
            <w:r>
              <w:br/>
            </w:r>
            <w:r>
              <w:rPr>
                <w:rStyle w:val="row-content-rich-text"/>
              </w:rPr>
              <w:t xml:space="preserve">        • plus 50% for the item with the next greatest Schedule fee</w:t>
            </w:r>
            <w:r>
              <w:br/>
            </w:r>
            <w:r>
              <w:rPr>
                <w:rStyle w:val="row-content-rich-text"/>
              </w:rPr>
              <w:t xml:space="preserve">        • plus 25% for each other item. </w:t>
            </w:r>
            <w:r>
              <w:rPr>
                <w:rStyle w:val="row-content-rich-text"/>
              </w:rPr>
              <w:t xml:space="preserve">See note T.8.2 of the Medicare Benefits Schedule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use from 1 November 2002.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419ea8263b4893">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89f8afa4d2f5431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MULTPROC</w:t>
            </w:r>
          </w:p>
          <w:p>
            <w:r>
              <w:br/>
            </w:r>
            <w:r>
              <w:br/>
            </w:r>
          </w:p>
        </w:tc>
      </w:tr>
    </w:tbl>
    <w:p/>
    <w:tbl>
      <w:tblPr>
        <w:tblStyle w:val="TableGrid"/>
        <w:tblW w:w="0" w:type="auto"/>
      </w:tblPr>
    </w:tbl>
    <w:p>
      <w:r>
        <w:br/>
      </w:r>
    </w:p>
    <w:sectPr>
      <w:footerReference xmlns:r="http://schemas.openxmlformats.org/officeDocument/2006/relationships" w:type="default" r:id="R3633f6136096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609552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d20412c4d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3f61360964491" /><Relationship Type="http://schemas.openxmlformats.org/officeDocument/2006/relationships/header" Target="/word/header1.xml" Id="R9fa2e815597a4fe7" /><Relationship Type="http://schemas.openxmlformats.org/officeDocument/2006/relationships/settings" Target="/word/settings.xml" Id="Rb86801bd70d841b8" /><Relationship Type="http://schemas.openxmlformats.org/officeDocument/2006/relationships/styles" Target="/word/styles.xml" Id="Rb7ee8d3febd14fbc" /><Relationship Type="http://schemas.openxmlformats.org/officeDocument/2006/relationships/hyperlink" Target="https://meteor.aihw.gov.au/RegistrationAuthority/10" TargetMode="External" Id="Re1aec77ee81b4030" /><Relationship Type="http://schemas.openxmlformats.org/officeDocument/2006/relationships/hyperlink" Target="https://meteor.aihw.gov.au/content/609518" TargetMode="External" Id="R1bab7a984778473b" /><Relationship Type="http://schemas.openxmlformats.org/officeDocument/2006/relationships/hyperlink" Target="https://meteor.aihw.gov.au/content/609514" TargetMode="External" Id="Rdcd4c63695f14f85" /><Relationship Type="http://schemas.openxmlformats.org/officeDocument/2006/relationships/numbering" Target="/word/numbering.xml" Id="R9525bfe4f2b64293" /><Relationship Type="http://schemas.openxmlformats.org/officeDocument/2006/relationships/hyperlink" Target="https://meteor.aihw.gov.au/content/603356" TargetMode="External" Id="R09419ea8263b4893" /><Relationship Type="http://schemas.openxmlformats.org/officeDocument/2006/relationships/hyperlink" Target="https://meteor.aihw.gov.au/RegistrationAuthority/10" TargetMode="External" Id="R89f8afa4d2f54313" /></Relationships>
</file>

<file path=word/_rels/header1.xml.rels>&#65279;<?xml version="1.0" encoding="utf-8"?><Relationships xmlns="http://schemas.openxmlformats.org/package/2006/relationships"><Relationship Type="http://schemas.openxmlformats.org/officeDocument/2006/relationships/image" Target="/media/image.png" Id="R30ad20412c4d40de" /></Relationships>
</file>