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18eaeef9684b49" /></Relationships>
</file>

<file path=word/document.xml><?xml version="1.0" encoding="utf-8"?>
<w:document xmlns:r="http://schemas.openxmlformats.org/officeDocument/2006/relationships" xmlns:w="http://schemas.openxmlformats.org/wordprocessingml/2006/main">
  <w:body>
    <w:p>
      <w:pPr>
        <w:pStyle w:val="Title"/>
      </w:pPr>
      <w:r>
        <w:t>Indigenous community housing dwelling occupancy status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dwelling occupancy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373cc32d23406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In the Indigenous Community Housing collection this item is used to measure the number of dwellings that are currently occupied, available to be tenanted and those in need of maintenance or repairs.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current standards for dwelling occupancy and tenantability status have been added to this data set, to align the Indigenous community housing collection with other housing collections.</w:t>
            </w:r>
          </w:p>
          <w:p>
            <w:pPr>
              <w:spacing w:after="160"/>
            </w:pPr>
            <w:r>
              <w:rPr>
                <w:rStyle w:val="row-content-rich-text"/>
              </w:rPr>
              <w:t xml:space="preserve">The Indigenous Housing Collection does not collect all concepts described in the standard data elements for occupancy and tenantability (i.e. does not collect whether a dwelling is tenantable). Alternate code values are also used by the collection, which differ from the METeOR standards.</w:t>
            </w:r>
          </w:p>
          <w:p>
            <w:pPr>
              <w:spacing w:after="160"/>
            </w:pPr>
            <w:r>
              <w:rPr>
                <w:rStyle w:val="row-content-rich-text"/>
              </w:rPr>
              <w:t xml:space="preserve">The following table shows the codes and labels collected for the Indigenous Community Housing Collection, against the mappable METeOR standard values:</w:t>
            </w:r>
          </w:p>
          <w:tbl>
            <w:tblPr>
              <w:tblStyle w:val="TableGrid"/>
              <w:tblW w:w="5000" w:type="pct"/>
              <w:tblLayout w:type="autofit"/>
            </w:tblPr>
            <w:tblGrid>
              <w:gridCol/>
              <w:gridCol/>
              <w:gridCol/>
              <w:gridCol/>
            </w:tblGrid>
            <w:tr>
              <w:trPr/>
              <w:tc>
                <w:tcPr>
                  <w:tcW w:w="2100" w:type="pct"/>
                  <w:vAlign w:val="top"/>
                </w:tcPr>
                <w:p>
                  <w:pPr/>
                  <w:r>
                    <w:rPr>
                      <w:rStyle w:val="row-content-rich-text"/>
                    </w:rPr>
                    <w:t xml:space="preserve"> </w:t>
                  </w:r>
                  <w:r>
                    <w:rPr>
                      <w:rStyle w:val="row-content-rich-text"/>
                      <w:b/>
                    </w:rPr>
                    <w:t xml:space="preserve">METeOR standard code</w:t>
                  </w:r>
                </w:p>
              </w:tc>
              <w:tc>
                <w:tcPr>
                  <w:tcW w:w="1700" w:type="pct"/>
                  <w:vAlign w:val="top"/>
                </w:tcPr>
                <w:p>
                  <w:r>
                    <w:rPr>
                      <w:b/>
                    </w:rPr>
                    <w:t xml:space="preserve">METeOR standard label</w:t>
                  </w:r>
                </w:p>
              </w:tc>
              <w:tc>
                <w:tcPr>
                  <w:tcW w:w="250" w:type="pct"/>
                  <w:vAlign w:val="top"/>
                </w:tcPr>
                <w:p>
                  <w:r>
                    <w:rPr>
                      <w:b/>
                    </w:rPr>
                    <w:t xml:space="preserve">ICH Code</w:t>
                  </w:r>
                </w:p>
              </w:tc>
              <w:tc>
                <w:tcPr>
                  <w:tcW w:w="850" w:type="pct"/>
                  <w:vAlign w:val="top"/>
                </w:tcPr>
                <w:p>
                  <w:r>
                    <w:rPr>
                      <w:b/>
                    </w:rPr>
                    <w:t xml:space="preserve">ICH Label</w:t>
                  </w:r>
                </w:p>
              </w:tc>
            </w:tr>
            <w:tr>
              <w:trPr/>
              <w:tc>
                <w:tcPr>
                  <w:tcW w:w="2100" w:type="pct"/>
                  <w:vAlign w:val="top"/>
                </w:tcPr>
                <w:p>
                  <w:r>
                    <w:rPr>
                      <w:i/>
                    </w:rPr>
                    <w:t xml:space="preserve">Occupancy status</w:t>
                  </w:r>
                </w:p>
              </w:tc>
              <w:tc>
                <w:tcPr>
                  <w:tcW w:w="1700" w:type="pct"/>
                  <w:vAlign w:val="top"/>
                </w:tcPr>
                <w:p>
                  <w:r>
                    <w:t xml:space="preserve"> </w:t>
                  </w:r>
                </w:p>
              </w:tc>
              <w:tc>
                <w:tcPr>
                  <w:tcW w:w="250" w:type="pct"/>
                  <w:vAlign w:val="top"/>
                </w:tcPr>
                <w:p>
                  <w:r>
                    <w:t xml:space="preserve"> </w:t>
                  </w:r>
                </w:p>
              </w:tc>
              <w:tc>
                <w:tcPr>
                  <w:tcW w:w="850" w:type="pct"/>
                  <w:vAlign w:val="top"/>
                </w:tcPr>
                <w:p>
                  <w:r>
                    <w:t xml:space="preserve"> </w:t>
                  </w:r>
                </w:p>
              </w:tc>
            </w:tr>
            <w:tr>
              <w:trPr/>
              <w:tc>
                <w:tcPr>
                  <w:tcW w:w="2100" w:type="pct"/>
                  <w:vAlign w:val="top"/>
                </w:tcPr>
                <w:p>
                  <w:r>
                    <w:t xml:space="preserve">1</w:t>
                  </w:r>
                </w:p>
              </w:tc>
              <w:tc>
                <w:tcPr>
                  <w:tcW w:w="1700" w:type="pct"/>
                  <w:vAlign w:val="top"/>
                </w:tcPr>
                <w:p>
                  <w:r>
                    <w:t xml:space="preserve">Occupied</w:t>
                  </w:r>
                </w:p>
              </w:tc>
              <w:tc>
                <w:tcPr>
                  <w:tcW w:w="250" w:type="pct"/>
                  <w:vAlign w:val="top"/>
                </w:tcPr>
                <w:p>
                  <w:r>
                    <w:t xml:space="preserve">1</w:t>
                  </w:r>
                </w:p>
              </w:tc>
              <w:tc>
                <w:tcPr>
                  <w:tcW w:w="850" w:type="pct"/>
                  <w:vAlign w:val="top"/>
                </w:tcPr>
                <w:p>
                  <w:r>
                    <w:t xml:space="preserve">Occupied</w:t>
                  </w:r>
                </w:p>
              </w:tc>
            </w:tr>
            <w:tr>
              <w:trPr/>
              <w:tc>
                <w:tcPr>
                  <w:tcW w:w="2100" w:type="pct"/>
                  <w:vAlign w:val="top"/>
                </w:tcPr>
                <w:p>
                  <w:r>
                    <w:t xml:space="preserve">2</w:t>
                  </w:r>
                </w:p>
              </w:tc>
              <w:tc>
                <w:tcPr>
                  <w:tcW w:w="1700" w:type="pct"/>
                  <w:vAlign w:val="top"/>
                </w:tcPr>
                <w:p>
                  <w:r>
                    <w:t xml:space="preserve">Unoccupied</w:t>
                  </w:r>
                </w:p>
              </w:tc>
              <w:tc>
                <w:tcPr>
                  <w:tcW w:w="250" w:type="pct"/>
                  <w:vAlign w:val="top"/>
                </w:tcPr>
                <w:p>
                  <w:r>
                    <w:t xml:space="preserve">0</w:t>
                  </w:r>
                </w:p>
              </w:tc>
              <w:tc>
                <w:tcPr>
                  <w:tcW w:w="850" w:type="pct"/>
                  <w:vAlign w:val="top"/>
                </w:tcPr>
                <w:p>
                  <w:r>
                    <w:t xml:space="preserve">Unoccupied</w:t>
                  </w:r>
                </w:p>
              </w:tc>
            </w:tr>
            <w:tr>
              <w:trPr/>
              <w:tc>
                <w:tcPr>
                  <w:tcW w:w="2100" w:type="pct"/>
                  <w:vAlign w:val="top"/>
                </w:tcPr>
                <w:p>
                  <w:r>
                    <w:rPr>
                      <w:i/>
                    </w:rPr>
                    <w:t xml:space="preserve">Tenantability status</w:t>
                  </w:r>
                </w:p>
              </w:tc>
              <w:tc>
                <w:tcPr>
                  <w:tcW w:w="1700" w:type="pct"/>
                  <w:vAlign w:val="top"/>
                </w:tcPr>
                <w:p>
                  <w:r>
                    <w:t xml:space="preserve"> </w:t>
                  </w:r>
                </w:p>
              </w:tc>
              <w:tc>
                <w:tcPr>
                  <w:tcW w:w="250" w:type="pct"/>
                  <w:vAlign w:val="top"/>
                </w:tcPr>
                <w:p>
                  <w:r>
                    <w:t xml:space="preserve"> </w:t>
                  </w:r>
                </w:p>
              </w:tc>
              <w:tc>
                <w:tcPr>
                  <w:tcW w:w="850" w:type="pct"/>
                  <w:vAlign w:val="top"/>
                </w:tcPr>
                <w:p>
                  <w:r>
                    <w:t xml:space="preserve"> </w:t>
                  </w:r>
                </w:p>
              </w:tc>
            </w:tr>
            <w:tr>
              <w:trPr/>
              <w:tc>
                <w:tcPr>
                  <w:tcW w:w="2100" w:type="pct"/>
                  <w:vAlign w:val="top"/>
                </w:tcPr>
                <w:p>
                  <w:r>
                    <w:t xml:space="preserve">1</w:t>
                  </w:r>
                </w:p>
              </w:tc>
              <w:tc>
                <w:tcPr>
                  <w:tcW w:w="1700" w:type="pct"/>
                  <w:vAlign w:val="top"/>
                </w:tcPr>
                <w:p>
                  <w:r>
                    <w:t xml:space="preserve">Tenantable</w:t>
                  </w:r>
                </w:p>
              </w:tc>
              <w:tc>
                <w:tcPr>
                  <w:tcW w:w="250" w:type="pct"/>
                  <w:vAlign w:val="top"/>
                </w:tcPr>
                <w:p>
                  <w:r>
                    <w:t xml:space="preserve">-</w:t>
                  </w:r>
                </w:p>
              </w:tc>
              <w:tc>
                <w:tcPr>
                  <w:tcW w:w="850" w:type="pct"/>
                  <w:vAlign w:val="top"/>
                </w:tcPr>
                <w:p>
                  <w:r>
                    <w:t xml:space="preserve">-</w:t>
                  </w:r>
                </w:p>
              </w:tc>
            </w:tr>
            <w:tr>
              <w:trPr/>
              <w:tc>
                <w:tcPr>
                  <w:tcW w:w="2100" w:type="pct"/>
                  <w:vAlign w:val="top"/>
                </w:tcPr>
                <w:p>
                  <w:r>
                    <w:t xml:space="preserve">2</w:t>
                  </w:r>
                </w:p>
              </w:tc>
              <w:tc>
                <w:tcPr>
                  <w:tcW w:w="1700" w:type="pct"/>
                  <w:vAlign w:val="top"/>
                </w:tcPr>
                <w:p>
                  <w:r>
                    <w:t xml:space="preserve">Untenantable</w:t>
                  </w:r>
                </w:p>
              </w:tc>
              <w:tc>
                <w:tcPr>
                  <w:tcW w:w="250" w:type="pct"/>
                  <w:vAlign w:val="top"/>
                </w:tcPr>
                <w:p>
                  <w:r>
                    <w:t xml:space="preserve">2</w:t>
                  </w:r>
                </w:p>
              </w:tc>
              <w:tc>
                <w:tcPr>
                  <w:tcW w:w="850" w:type="pct"/>
                  <w:vAlign w:val="top"/>
                </w:tcPr>
                <w:p>
                  <w:r>
                    <w:t xml:space="preserve">Untenantable</w:t>
                  </w:r>
                </w:p>
              </w:tc>
            </w:tr>
            <w:tr>
              <w:trPr/>
              <w:tc>
                <w:tcPr>
                  <w:tcW w:w="2100" w:type="pct"/>
                  <w:vAlign w:val="top"/>
                </w:tcPr>
                <w:p>
                  <w:r>
                    <w:rPr>
                      <w:i/>
                    </w:rPr>
                    <w:t xml:space="preserve">METeOR supplementary values</w:t>
                  </w:r>
                </w:p>
                <w:p>
                  <w:r>
                    <w:rPr>
                      <w:i/>
                    </w:rPr>
                    <w:t xml:space="preserve">(applicable to both standards)</w:t>
                  </w:r>
                </w:p>
              </w:tc>
              <w:tc>
                <w:tcPr>
                  <w:tcW w:w="1700" w:type="pct"/>
                  <w:vAlign w:val="top"/>
                </w:tcPr>
                <w:p>
                  <w:r>
                    <w:t xml:space="preserve"> </w:t>
                  </w:r>
                </w:p>
              </w:tc>
              <w:tc>
                <w:tcPr>
                  <w:tcW w:w="250" w:type="pct"/>
                  <w:vAlign w:val="top"/>
                </w:tcPr>
                <w:p>
                  <w:r>
                    <w:t xml:space="preserve"> </w:t>
                  </w:r>
                </w:p>
              </w:tc>
              <w:tc>
                <w:tcPr>
                  <w:tcW w:w="850" w:type="pct"/>
                  <w:vAlign w:val="top"/>
                </w:tcPr>
                <w:p>
                  <w:r>
                    <w:t xml:space="preserve"> </w:t>
                  </w:r>
                </w:p>
              </w:tc>
            </w:tr>
            <w:tr>
              <w:trPr/>
              <w:tc>
                <w:tcPr>
                  <w:tcW w:w="2100" w:type="pct"/>
                  <w:vAlign w:val="top"/>
                </w:tcPr>
                <w:p>
                  <w:r>
                    <w:t xml:space="preserve">9</w:t>
                  </w:r>
                </w:p>
              </w:tc>
              <w:tc>
                <w:tcPr>
                  <w:tcW w:w="1700" w:type="pct"/>
                  <w:vAlign w:val="top"/>
                </w:tcPr>
                <w:p>
                  <w:r>
                    <w:t xml:space="preserve">Not stated/Inadequately described</w:t>
                  </w:r>
                </w:p>
              </w:tc>
              <w:tc>
                <w:tcPr>
                  <w:tcW w:w="250" w:type="pct"/>
                  <w:vAlign w:val="top"/>
                </w:tcPr>
                <w:p>
                  <w:r>
                    <w:t xml:space="preserve">U</w:t>
                  </w:r>
                </w:p>
              </w:tc>
              <w:tc>
                <w:tcPr>
                  <w:tcW w:w="850" w:type="pct"/>
                  <w:vAlign w:val="top"/>
                </w:tcPr>
                <w:p>
                  <w:r>
                    <w:t xml:space="preserve">Unknown</w:t>
                  </w:r>
                </w:p>
              </w:tc>
            </w:tr>
          </w:tbl>
          <w:p>
            <w:r>
              <w:rPr>
                <w:b/>
              </w:rPr>
              <w:t xml:space="preserve">Code 1. Occupied</w:t>
            </w:r>
            <w:r>
              <w:t xml:space="preserve"> - A household has a formal tenancy agreement for a particular dwelling. Occupied dwellings include any structures that people actually live in regardless of its intended purpose. The structure may or may not be tenantable.</w:t>
            </w:r>
          </w:p>
          <w:p>
            <w:r>
              <w:rPr>
                <w:b/>
              </w:rPr>
              <w:t xml:space="preserve">Code 2. Untenantable</w:t>
            </w:r>
            <w:r>
              <w:t xml:space="preserve"> - Record if the dwelling is not tenantable. An untenantable dwelling does not meet the required minimum level of basic amenity and maintenance.</w:t>
            </w:r>
          </w:p>
          <w:p>
            <w:r>
              <w:rPr>
                <w:b/>
              </w:rPr>
              <w:t xml:space="preserve">Code 0. Unoccupied</w:t>
            </w:r>
            <w:r>
              <w:t xml:space="preserve"> - No formal tenancy agreement exists between a household and a housing provider for a particular dwelling. A not occupied structure is only a dwelling if it is intended for human residence. The structure may or may not be tenantable. Thus a shed, garage, office, etc. is counted as an occupied dwelling if people are living there, but is not counted as vacant if there are no residents as the purpose of the structure is not for human habitation.</w:t>
            </w:r>
          </w:p>
          <w:p>
            <w:r>
              <w:rPr>
                <w:b/>
              </w:rPr>
              <w:t xml:space="preserve">Code U. Unknown</w:t>
            </w:r>
            <w:r>
              <w:t xml:space="preserve"> - Code if Unknown.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d06f49466414fd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92126786744227">
              <w:r>
                <w:rPr>
                  <w:rStyle w:val="Hyperlink"/>
                </w:rPr>
                <w:t xml:space="preserve">Indigenous community housing dwelling occupancy status cluster</w:t>
              </w:r>
            </w:hyperlink>
          </w:p>
          <w:p>
            <w:pPr>
              <w:spacing w:before="0" w:after="0"/>
            </w:pPr>
            <w:r>
              <w:rPr>
                <w:rStyle w:val="row-content"/>
                <w:color w:val="244061"/>
              </w:rPr>
              <w:t xml:space="preserve">       </w:t>
            </w:r>
            <w:hyperlink w:history="true" r:id="Rac8414b7e45e41f5">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a147c95cc2814bce">
              <w:r>
                <w:rPr>
                  <w:rStyle w:val="Hyperlink"/>
                  <w:color w:val="244061"/>
                </w:rPr>
                <w:t xml:space="preserve">Indigenous</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fa73cda2b24509">
              <w:r>
                <w:rPr>
                  <w:rStyle w:val="Hyperlink"/>
                </w:rPr>
                <w:t xml:space="preserve">Dwelling file cluster (Indigenous community housing)</w:t>
              </w:r>
            </w:hyperlink>
          </w:p>
          <w:p>
            <w:pPr>
              <w:spacing w:before="0" w:after="0"/>
            </w:pPr>
            <w:r>
              <w:rPr>
                <w:rStyle w:val="row-content"/>
                <w:color w:val="244061"/>
              </w:rPr>
              <w:t xml:space="preserve">       </w:t>
            </w:r>
            <w:hyperlink w:history="true" r:id="Rb491242bef9a4030">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current standards for dwelling occupancy and tenantability status have been added to this data set, to align the Indigenous community housing collection with other housing collections.</w:t>
            </w:r>
          </w:p>
          <w:p>
            <w:r>
              <w:rPr>
                <w:rStyle w:val="row-content"/>
              </w:rPr>
              <w:t xml:space="preserve">An alternative code set is used by the collection, which accounts for most values in the standard items. The alternative codeset and mapping is as follows:</w:t>
            </w:r>
          </w:p>
          <w:p>
            <w:r>
              <w:rPr>
                <w:rStyle w:val="row-content"/>
              </w:rPr>
              <w:t xml:space="preserve"> </w:t>
            </w:r>
          </w:p>
          <w:p>
            <w:r>
              <w:rPr>
                <w:rStyle w:val="row-content"/>
              </w:rPr>
              <w:t xml:space="preserve"> </w:t>
            </w:r>
          </w:p>
          <w:tbl>
            <w:tblPr>
              <w:tblStyle w:val="TableGrid"/>
              <w:tblW w:w="5000" w:type="pct"/>
              <w:tblLayout w:type="autofit"/>
            </w:tblPr>
            <w:tblGrid>
              <w:gridCol/>
              <w:gridCol/>
            </w:tblGrid>
            <w:tr>
              <w:trPr/>
              <w:tc>
                <w:tcPr>
                  <w:tcW w:w="1050" w:type="pct"/>
                  <w:vAlign w:val="top"/>
                </w:tcPr>
                <w:p>
                  <w:r>
                    <w:rPr>
                      <w:rStyle w:val="row-content"/>
                      <w:b/>
                    </w:rPr>
                    <w:t xml:space="preserve">ICH label and value</w:t>
                  </w:r>
                </w:p>
              </w:tc>
              <w:tc>
                <w:tcPr>
                  <w:tcW w:w="3900" w:type="pct"/>
                  <w:vAlign w:val="top"/>
                </w:tcPr>
                <w:p>
                  <w:r>
                    <w:rPr>
                      <w:b/>
                    </w:rPr>
                    <w:t xml:space="preserve">METeOR standard label and value</w:t>
                  </w:r>
                </w:p>
              </w:tc>
            </w:tr>
            <w:tr>
              <w:trPr/>
              <w:tc>
                <w:tcPr>
                  <w:tcW w:w="1050" w:type="pct"/>
                  <w:vAlign w:val="top"/>
                </w:tcPr>
                <w:p>
                  <w:r>
                    <w:t xml:space="preserve">1 = Occupied</w:t>
                  </w:r>
                </w:p>
              </w:tc>
              <w:tc>
                <w:tcPr>
                  <w:tcW w:w="3900" w:type="pct"/>
                  <w:vAlign w:val="top"/>
                </w:tcPr>
                <w:p>
                  <w:r>
                    <w:t xml:space="preserve">1 = Yes (Occupied) [Occupancy standard]</w:t>
                  </w:r>
                </w:p>
              </w:tc>
            </w:tr>
            <w:tr>
              <w:trPr/>
              <w:tc>
                <w:tcPr>
                  <w:tcW w:w="1050" w:type="pct"/>
                  <w:vAlign w:val="top"/>
                </w:tcPr>
                <w:p>
                  <w:r>
                    <w:t xml:space="preserve">2 = Untentantable</w:t>
                  </w:r>
                </w:p>
              </w:tc>
              <w:tc>
                <w:tcPr>
                  <w:tcW w:w="3900" w:type="pct"/>
                  <w:vAlign w:val="top"/>
                </w:tcPr>
                <w:p>
                  <w:r>
                    <w:t xml:space="preserve">2 = No (Untenantable) [Tenantability standard]</w:t>
                  </w:r>
                </w:p>
              </w:tc>
            </w:tr>
            <w:tr>
              <w:trPr/>
              <w:tc>
                <w:tcPr>
                  <w:tcW w:w="1050" w:type="pct"/>
                  <w:vAlign w:val="top"/>
                </w:tcPr>
                <w:p>
                  <w:r>
                    <w:t xml:space="preserve">0 = Unoccupied</w:t>
                  </w:r>
                </w:p>
              </w:tc>
              <w:tc>
                <w:tcPr>
                  <w:tcW w:w="3900" w:type="pct"/>
                  <w:vAlign w:val="top"/>
                </w:tcPr>
                <w:p>
                  <w:r>
                    <w:t xml:space="preserve">2 = No (Not Occupied) [Occupancy standard]</w:t>
                  </w:r>
                </w:p>
              </w:tc>
            </w:tr>
            <w:tr>
              <w:trPr/>
              <w:tc>
                <w:tcPr>
                  <w:tcW w:w="1050" w:type="pct"/>
                  <w:vAlign w:val="top"/>
                </w:tcPr>
                <w:p>
                  <w:r>
                    <w:t xml:space="preserve">N/A</w:t>
                  </w:r>
                </w:p>
              </w:tc>
              <w:tc>
                <w:tcPr>
                  <w:tcW w:w="3900" w:type="pct"/>
                  <w:vAlign w:val="top"/>
                </w:tcPr>
                <w:p>
                  <w:r>
                    <w:t xml:space="preserve">1 = Yes (Tenantable) [Tenantability standard]</w:t>
                  </w:r>
                </w:p>
              </w:tc>
            </w:tr>
            <w:tr>
              <w:trPr/>
              <w:tc>
                <w:tcPr>
                  <w:tcW w:w="1050" w:type="pct"/>
                  <w:vAlign w:val="top"/>
                </w:tcPr>
                <w:p>
                  <w:r>
                    <w:t xml:space="preserve">U = Unknown</w:t>
                  </w:r>
                </w:p>
              </w:tc>
              <w:tc>
                <w:tcPr>
                  <w:tcW w:w="3900" w:type="pct"/>
                  <w:vAlign w:val="top"/>
                </w:tcPr>
                <w:p>
                  <w:r>
                    <w:t xml:space="preserve">9 = Not stated/Inadequately described [Occupancy and Tenantability standards]</w:t>
                  </w:r>
                </w:p>
              </w:tc>
            </w:tr>
          </w:tbl>
          <w:p>
            <w:r>
              <w:t xml:space="preserve">The Indigenous community housing code set excludes the collection of dwellings which are 'tenantable'. Dwellings identified as unoccupied according to the ICH data manual, should by default be considered tenantable. Dwellings identified as occupied according to the ICH data manual, may or may not be considered tenantable.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456d30c05b4b77">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03e8da582f4776">
                    <w:r>
                      <w:rPr>
                        <w:rStyle w:val="Hyperlink"/>
                      </w:rPr>
                      <w:t xml:space="preserve">Dwelling—tenantability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715d970ff974f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609066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48bf9cef2a4d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15d970ff974f38" /><Relationship Type="http://schemas.openxmlformats.org/officeDocument/2006/relationships/header" Target="/word/header1.xml" Id="R757e9208182f4981" /><Relationship Type="http://schemas.openxmlformats.org/officeDocument/2006/relationships/settings" Target="/word/settings.xml" Id="R82ebe9425cfb4d1c" /><Relationship Type="http://schemas.openxmlformats.org/officeDocument/2006/relationships/styles" Target="/word/styles.xml" Id="R452d33e1a3a74c1c" /><Relationship Type="http://schemas.openxmlformats.org/officeDocument/2006/relationships/hyperlink" Target="https://meteor.aihw.gov.au/RegistrationAuthority/11" TargetMode="External" Id="Rf7373cc32d234065" /><Relationship Type="http://schemas.openxmlformats.org/officeDocument/2006/relationships/hyperlink" Target="https://meteor.aihw.gov.au/content/246013" TargetMode="External" Id="Rcd06f49466414fd3" /><Relationship Type="http://schemas.openxmlformats.org/officeDocument/2006/relationships/hyperlink" Target="https://meteor.aihw.gov.au/content/494607" TargetMode="External" Id="R9a92126786744227" /><Relationship Type="http://schemas.openxmlformats.org/officeDocument/2006/relationships/hyperlink" Target="https://meteor.aihw.gov.au/RegistrationAuthority/11" TargetMode="External" Id="Rac8414b7e45e41f5" /><Relationship Type="http://schemas.openxmlformats.org/officeDocument/2006/relationships/hyperlink" Target="https://meteor.aihw.gov.au/RegistrationAuthority/6" TargetMode="External" Id="Ra147c95cc2814bce" /><Relationship Type="http://schemas.openxmlformats.org/officeDocument/2006/relationships/hyperlink" Target="https://meteor.aihw.gov.au/content/605354" TargetMode="External" Id="Rb9fa73cda2b24509" /><Relationship Type="http://schemas.openxmlformats.org/officeDocument/2006/relationships/hyperlink" Target="https://meteor.aihw.gov.au/RegistrationAuthority/11" TargetMode="External" Id="Rb491242bef9a4030" /><Relationship Type="http://schemas.openxmlformats.org/officeDocument/2006/relationships/hyperlink" Target="https://meteor.aihw.gov.au/content/607865" TargetMode="External" Id="R19456d30c05b4b77" /><Relationship Type="http://schemas.openxmlformats.org/officeDocument/2006/relationships/hyperlink" Target="https://meteor.aihw.gov.au/content/663114" TargetMode="External" Id="R3a03e8da582f4776" /></Relationships>
</file>

<file path=word/_rels/header1.xml.rels>&#65279;<?xml version="1.0" encoding="utf-8"?><Relationships xmlns="http://schemas.openxmlformats.org/package/2006/relationships"><Relationship Type="http://schemas.openxmlformats.org/officeDocument/2006/relationships/image" Target="/media/image.png" Id="R9f48bf9cef2a4db6" /></Relationships>
</file>