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57af7d1d241f8"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8d344e0544307">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(insulin-treated) Diabetes Register 2013 (NDR) records new cases of insulin-treated diabetes in Australia, where insulin use commenced between 1 January 1999 and 31 December 2013.</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 and territory registers;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pStyle w:val="ListParagraph"/>
              <w:numPr>
                <w:ilvl w:val="0"/>
                <w:numId w:val="2"/>
              </w:numPr>
            </w:pPr>
            <w:r>
              <w:rPr>
                <w:rStyle w:val="row-content-rich-text"/>
              </w:rPr>
              <w:t xml:space="preserve">The methods to create the NDR 2013 have changed from previous years and the derivation of the register applied the new processes retrospectively across all years.</w:t>
            </w:r>
          </w:p>
          <w:p>
            <w:pPr>
              <w:pStyle w:val="ListParagraph"/>
              <w:numPr>
                <w:ilvl w:val="0"/>
                <w:numId w:val="2"/>
              </w:numPr>
            </w:pPr>
            <w:r>
              <w:rPr>
                <w:rStyle w:val="row-content-rich-text"/>
              </w:rPr>
              <w:t xml:space="preserve">Results from the NDR 2013 cannot be compared with results in publications based on previous NDR data.</w:t>
            </w:r>
          </w:p>
          <w:p>
            <w:pPr>
              <w:spacing w:after="160"/>
            </w:pPr>
            <w:r>
              <w:rPr>
                <w:rStyle w:val="row-content-rich-text"/>
              </w:rPr>
              <w:t xml:space="preserve"> </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people living in Australia with insulin-treated diabetes. It was established in 1999 to monitor the incidence and prevalence of insulin-treated diabetes in Australia.</w:t>
            </w:r>
            <w:r>
              <w:br/>
            </w:r>
            <w:r>
              <w:rPr>
                <w:rStyle w:val="row-content-rich-text"/>
              </w:rPr>
              <w:t xml:space="preserve">The NDR aims to record all new cases of people who use insulin to treat their diabetes.</w:t>
            </w:r>
            <w:r>
              <w:br/>
            </w:r>
            <w:r>
              <w:rPr>
                <w:rStyle w:val="row-content-rich-text"/>
              </w:rPr>
              <w:t xml:space="preserve">The NDR includes people with type 1, type 2, gestational and other forms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w:t>
            </w:r>
          </w:p>
          <w:p>
            <w:pPr>
              <w:pStyle w:val="ListParagraph"/>
              <w:numPr>
                <w:ilvl w:val="0"/>
                <w:numId w:val="3"/>
              </w:numPr>
            </w:pPr>
            <w:r>
              <w:rPr>
                <w:rStyle w:val="row-content-rich-text"/>
              </w:rPr>
              <w:t xml:space="preserve">Only a proportion of type 2 and gestational diabetes cases require insulin treatment; those that do not are not within the scope of the NDR.</w:t>
            </w:r>
          </w:p>
          <w:p>
            <w:pPr>
              <w:spacing w:after="160"/>
            </w:pPr>
            <w:r>
              <w:rPr>
                <w:rStyle w:val="row-content-rich-text"/>
              </w:rPr>
              <w:t xml:space="preserve">Data for the NDR are sourced from the National Diabetes Services Scheme (NDSS);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2013 lists the date of the first time such a product was purchased as an indicator of when insulin use may have begun.</w:t>
            </w:r>
          </w:p>
          <w:p>
            <w:pPr>
              <w:spacing w:after="160"/>
            </w:pPr>
            <w:r>
              <w:rPr>
                <w:rStyle w:val="row-content-rich-text"/>
              </w:rPr>
              <w:t xml:space="preserve">APEG data: the APEG data source used to derive the NDR relates to children who use insulin to treat their diabetes and whose insulin use started in 1999 onwards and who were less than 15 years old at the time insulin use began.</w:t>
            </w:r>
          </w:p>
          <w:p>
            <w:pPr>
              <w:spacing w:after="160"/>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NDR anyone that is deceased and their date of death.</w:t>
            </w:r>
          </w:p>
          <w:p>
            <w:pPr/>
            <w:r>
              <w:rPr>
                <w:rStyle w:val="row-content-rich-text"/>
              </w:rPr>
              <w:t xml:space="preserve">Although the NDR 2013 contains data from 1999 onwards, data coverage issues in the first year of data collection means that reporting of the incidence of insulin-treated diabetes is from 2000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b533ff4b63e458d">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770ef0fd9209491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9e6dec34cb249a6">
              <w:r>
                <w:rPr>
                  <w:rStyle w:val="Hyperlink"/>
                </w:rPr>
                <w:t xml:space="preserve">Australian Institute of Health and Welfare Act 1987</w:t>
              </w:r>
            </w:hyperlink>
            <w:r>
              <w:rPr>
                <w:rStyle w:val="row-content-rich-text"/>
              </w:rPr>
              <w:t xml:space="preserve">, in conjunction with compliance to the </w:t>
            </w:r>
            <w:hyperlink w:history="true" r:id="R47b6563bd9a64d42">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0063703447e4e8e">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Diabetes Register under the Memorandum of Understanding for the period 2011–2015 between the Department of Health and Ageing and the Australian Institute of Health and Welfare (1 July 2014 to 30 June 2015).</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and managed through a memorandum of understanding between the AIHW and DA:</w:t>
            </w:r>
          </w:p>
          <w:p>
            <w:pPr>
              <w:pStyle w:val="ListParagraph"/>
              <w:numPr>
                <w:ilvl w:val="0"/>
                <w:numId w:val="4"/>
              </w:numPr>
            </w:pPr>
            <w:r>
              <w:rPr>
                <w:rStyle w:val="row-content-rich-text"/>
                <w:i/>
              </w:rPr>
              <w:t xml:space="preserve">Agreement between the Commonwealth of Australia as represented by the Department of Health and Ageing and Diabetes Australia for the National Diabetes Services Scheme (1 July 2011–30 June 2016).</w:t>
            </w:r>
          </w:p>
          <w:p>
            <w:pPr>
              <w:pStyle w:val="ListParagraph"/>
              <w:numPr>
                <w:ilvl w:val="0"/>
                <w:numId w:val="4"/>
              </w:numPr>
            </w:pPr>
            <w:r>
              <w:rPr>
                <w:rStyle w:val="row-content-rich-text"/>
                <w:i/>
              </w:rPr>
              <w:t xml:space="preserve">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Diabetes Register: Australian Institute of Health and Welfare and The Australasian Paediatric Endocrine Group (16 July 2014–15 July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annually.</w:t>
            </w:r>
          </w:p>
          <w:p>
            <w:pPr/>
            <w:r>
              <w:rPr>
                <w:rStyle w:val="row-content-rich-text"/>
              </w:rPr>
              <w:t xml:space="preserve">The NDR 2013 was created using data from the NDSS extracted in April 2014 and APEG data to 31 March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 </w:t>
            </w:r>
            <w:r>
              <w:rPr>
                <w:rStyle w:val="row-content-rich-text"/>
                <w:i/>
              </w:rPr>
              <w:t xml:space="preserve">Incidence of type 1 diabetes in Australia, 2000–2013</w:t>
            </w:r>
            <w:r>
              <w:rPr>
                <w:rStyle w:val="row-content-rich-text"/>
              </w:rPr>
              <w:t xml:space="preserve"> is based on the NDR 2013 and available at: </w:t>
            </w:r>
            <w:hyperlink w:history="true" r:id="R3a8fbe5d78374410">
              <w:r>
                <w:rPr>
                  <w:rStyle w:val="Hyperlink"/>
                </w:rPr>
                <w:t xml:space="preserve">http://www.aihw.gov.au/publication-detail/?id=60129550890</w:t>
              </w:r>
            </w:hyperlink>
            <w:r>
              <w:rPr>
                <w:rStyle w:val="row-content-rich-text"/>
              </w:rPr>
              <w:t xml:space="preserve">.</w:t>
            </w:r>
          </w:p>
          <w:p>
            <w:pPr>
              <w:spacing w:after="160"/>
            </w:pPr>
            <w:r>
              <w:rPr>
                <w:rStyle w:val="row-content-rich-text"/>
              </w:rPr>
              <w:t xml:space="preserve">Additional data not available in the report can be requested via the National Centre for Monitoring Vascular Diseases at the AIHW on (02) 6244 1000 or via email to </w:t>
            </w:r>
            <w:hyperlink w:history="true" r:id="R461723831e634748">
              <w:r>
                <w:rPr>
                  <w:rStyle w:val="Hyperlink"/>
                </w:rPr>
                <w:t xml:space="preserve">diabetes@aihw.gov.au</w:t>
              </w:r>
            </w:hyperlink>
            <w:r>
              <w:rPr>
                <w:rStyle w:val="row-content-rich-text"/>
              </w:rPr>
              <w:t xml:space="preserve">.</w:t>
            </w:r>
          </w:p>
          <w:p>
            <w:pPr/>
            <w:r>
              <w:rPr>
                <w:rStyle w:val="row-content-rich-text"/>
              </w:rPr>
              <w:t xml:space="preserve">Requests that take longer than half an hour to compile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NDR is available at: </w:t>
            </w:r>
            <w:hyperlink w:history="true" r:id="R49d3e207745c4771">
              <w:r>
                <w:rPr>
                  <w:rStyle w:val="Hyperlink"/>
                </w:rPr>
                <w:t xml:space="preserve">http://www.aihw.gov.au/national-diabetes-register</w:t>
              </w:r>
            </w:hyperlink>
            <w:r>
              <w:rPr>
                <w:rStyle w:val="row-content-rich-text"/>
              </w:rPr>
              <w:t xml:space="preserve">.</w:t>
            </w:r>
          </w:p>
          <w:p>
            <w:pPr>
              <w:spacing w:after="160"/>
            </w:pPr>
            <w:r>
              <w:rPr>
                <w:rStyle w:val="row-content-rich-text"/>
              </w:rPr>
              <w:t xml:space="preserve">The report, </w:t>
            </w:r>
            <w:r>
              <w:rPr>
                <w:rStyle w:val="row-content-rich-text"/>
                <w:i/>
              </w:rPr>
              <w:t xml:space="preserve">Incidence of type 1 diabetes in Australia, 2000–2013</w:t>
            </w:r>
            <w:r>
              <w:rPr>
                <w:rStyle w:val="row-content-rich-text"/>
              </w:rPr>
              <w:t xml:space="preserve">, which is based on the NDR 2013, includes additional information available online:</w:t>
            </w:r>
          </w:p>
          <w:p>
            <w:pPr>
              <w:pStyle w:val="ListParagraph"/>
              <w:numPr>
                <w:ilvl w:val="0"/>
                <w:numId w:val="5"/>
              </w:numPr>
            </w:pPr>
            <w:r>
              <w:rPr>
                <w:rStyle w:val="row-content-rich-text"/>
                <w:i/>
              </w:rPr>
              <w:t xml:space="preserve">Incidence of type 1 diabetes in Australia, 2000–2013: statistical notes and methods </w:t>
            </w:r>
          </w:p>
          <w:p>
            <w:pPr>
              <w:pStyle w:val="ListParagraph"/>
              <w:numPr>
                <w:ilvl w:val="0"/>
                <w:numId w:val="5"/>
              </w:numPr>
            </w:pPr>
            <w:r>
              <w:rPr>
                <w:rStyle w:val="row-content-rich-text"/>
                <w:i/>
              </w:rPr>
              <w:t xml:space="preserve">Incidence of type 1 diabetes in Australia, 2000–2013: detailed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r>
              <w:rPr>
                <w:rStyle w:val="row-content-rich-text"/>
              </w:rPr>
              <w:t xml:space="preserve">The NDR 2013 includes all new cases of insulin-treated diabetes between 1</w:t>
            </w:r>
            <w:r>
              <w:rPr>
                <w:rStyle w:val="row-content-rich-text"/>
                <w:vertAlign w:val="superscript"/>
              </w:rPr>
              <w:t xml:space="preserve">st</w:t>
            </w:r>
            <w:r>
              <w:rPr>
                <w:rStyle w:val="row-content-rich-text"/>
              </w:rPr>
              <w:t xml:space="preserve"> January 1999 and 31</w:t>
            </w:r>
            <w:r>
              <w:rPr>
                <w:rStyle w:val="row-content-rich-text"/>
                <w:vertAlign w:val="superscript"/>
              </w:rPr>
              <w:t xml:space="preserve">st</w:t>
            </w:r>
            <w:r>
              <w:rPr>
                <w:rStyle w:val="row-content-rich-text"/>
              </w:rPr>
              <w:t xml:space="preserve"> December 2013. It captures demographic information including, age; sex; date of birth; postcode of current residence; Indigenous status; country of birth; main language spoken at home; height; weight; type of diabetes; diagnosis date;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Registration with the NDSS is voluntary. Those who require insulin to treat their diabetes are more likely to register as there is a requirement for diabetes related products to administer insulin, which are available at subsidised prices through the NDSS.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Eligibility for registration with either the NDSS or APEG is confirmed by a GP, endocrinologist, other specialist or a credentialed diabetes educator.</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NDR dataset contains both the reported diabetes type, the type reported at registration, and the derived diabetes type, based on quality checks at the AIHW. An algorithm, developed in conjunction with the Diabetes Expert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Because type 2 diabetes is generally uncommon in very young people, unless confirmed, those less than 10 years old who are reported at registration as having type 2 diabetes are considered to be non-derivable into a diabetes type.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w:t>
            </w:r>
            <w:r>
              <w:rPr>
                <w:rStyle w:val="row-content-rich-text"/>
                <w:i/>
              </w:rPr>
              <w:t xml:space="preserve">non-Indigenous</w:t>
            </w:r>
            <w:r>
              <w:rPr>
                <w:rStyle w:val="row-content-rich-text"/>
              </w:rPr>
              <w:t xml:space="preserve">, however from 2005 onwards, the default became </w:t>
            </w:r>
            <w:r>
              <w:rPr>
                <w:rStyle w:val="row-content-rich-text"/>
                <w:i/>
              </w:rPr>
              <w:t xml:space="preserve">not stated</w:t>
            </w:r>
            <w:r>
              <w:rPr>
                <w:rStyle w:val="row-content-rich-text"/>
              </w:rPr>
              <w:t xml:space="preserve">. Additionally, Indigenous people may not declare their origin when registering or may not register with the NDSS at all, as diabetes-related products and services can be obtained through targeted Indigenous programs.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where date of diagnosis is not completed, registration date is used.</w:t>
            </w:r>
          </w:p>
          <w:p>
            <w:pPr/>
            <w:r>
              <w:rPr>
                <w:rStyle w:val="row-content-rich-text"/>
              </w:rPr>
              <w:t xml:space="preserve">All those with type 1 diabetes use insulin and are therefore represented on the NDR. For those with other types of diabetes, the use of insulin, and therefore eligibility for the NDR, is determined primarily through evidence of the purchase of insulin-related products through the 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2013 contains data on the incidence of insulin-treated diabetes since 1999. The methods to create the NDR 2013 have changed from previous years (both in the way data are processed, as well as how eligibility for the NDR is determined) and the derivation of the register applied these new methods retrospectively across all years.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r>
              <w:rPr>
                <w:rStyle w:val="row-content-rich-text"/>
              </w:rPr>
              <w:t xml:space="preserve">While Indigenous status is available for all years, there were changes in the recording of this variable in 2005 for new registrants to the NDSS. Before 2005 the default for no response was </w:t>
            </w:r>
            <w:r>
              <w:rPr>
                <w:rStyle w:val="row-content-rich-text"/>
                <w:i/>
              </w:rPr>
              <w:t xml:space="preserve">non-Indigenous</w:t>
            </w:r>
            <w:r>
              <w:rPr>
                <w:rStyle w:val="row-content-rich-text"/>
              </w:rPr>
              <w:t xml:space="preserve">, but from 2005 onwards, the default became </w:t>
            </w:r>
            <w:r>
              <w:rPr>
                <w:rStyle w:val="row-content-rich-text"/>
                <w:i/>
              </w:rPr>
              <w:t xml:space="preserve">not stated</w:t>
            </w:r>
            <w:r>
              <w:rPr>
                <w:rStyle w:val="row-content-rich-text"/>
              </w:rPr>
              <w:t xml:space="preserve">.</w:t>
            </w:r>
          </w:p>
        </w:tc>
      </w:tr>
    </w:tbl>
    <w:p>
      <w:r>
        <w:br/>
      </w:r>
    </w:p>
    <w:sectPr>
      <w:footerReference xmlns:r="http://schemas.openxmlformats.org/officeDocument/2006/relationships" w:type="default" r:id="Recb9addff589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f9b26483a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9addff5894b36" /><Relationship Type="http://schemas.openxmlformats.org/officeDocument/2006/relationships/header" Target="/word/header1.xml" Id="R05c1a06b4985475b" /><Relationship Type="http://schemas.openxmlformats.org/officeDocument/2006/relationships/settings" Target="/word/settings.xml" Id="R9e7506bf1cb24dee" /><Relationship Type="http://schemas.openxmlformats.org/officeDocument/2006/relationships/styles" Target="/word/styles.xml" Id="R3af52c157cfb4a64" /><Relationship Type="http://schemas.openxmlformats.org/officeDocument/2006/relationships/numbering" Target="/word/numbering.xml" Id="Rf549d053a0b4449d" /><Relationship Type="http://schemas.openxmlformats.org/officeDocument/2006/relationships/hyperlink" Target="https://meteor.aihw.gov.au/RegistrationAuthority/5" TargetMode="External" Id="R59b8d344e0544307" /><Relationship Type="http://schemas.openxmlformats.org/officeDocument/2006/relationships/hyperlink" Target="http://www.comlaw.gov.au/Series/C2004A03450" TargetMode="External" Id="R8b533ff4b63e458d" /><Relationship Type="http://schemas.openxmlformats.org/officeDocument/2006/relationships/hyperlink" Target="http://www.aihw.gov.au/aihw-board/" TargetMode="External" Id="R770ef0fd92094911" /><Relationship Type="http://schemas.openxmlformats.org/officeDocument/2006/relationships/hyperlink" Target="http://www.comlaw.gov.au/Series/C2004A03450" TargetMode="External" Id="R09e6dec34cb249a6" /><Relationship Type="http://schemas.openxmlformats.org/officeDocument/2006/relationships/hyperlink" Target="http://www.comlaw.gov.au/Series/C2004A03712" TargetMode="External" Id="R47b6563bd9a64d42" /><Relationship Type="http://schemas.openxmlformats.org/officeDocument/2006/relationships/hyperlink" Target="http://www.aihw.gov.au/" TargetMode="External" Id="R50063703447e4e8e" /><Relationship Type="http://schemas.openxmlformats.org/officeDocument/2006/relationships/hyperlink" Target="http://www.aihw.gov.au/publication-detail/?id=60129550890" TargetMode="External" Id="R3a8fbe5d78374410" /><Relationship Type="http://schemas.openxmlformats.org/officeDocument/2006/relationships/hyperlink" Target="mailto:diabetes@aihw.gov.au" TargetMode="External" Id="R461723831e634748" /><Relationship Type="http://schemas.openxmlformats.org/officeDocument/2006/relationships/hyperlink" Target="http://www.aihw.gov.au/national-diabetes-register" TargetMode="External" Id="R49d3e207745c4771" /></Relationships>
</file>

<file path=word/_rels/header1.xml.rels>&#65279;<?xml version="1.0" encoding="utf-8"?><Relationships xmlns="http://schemas.openxmlformats.org/package/2006/relationships"><Relationship Type="http://schemas.openxmlformats.org/officeDocument/2006/relationships/image" Target="/media/image.png" Id="Rd97f9b26483a49eb" /></Relationships>
</file>