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bb6539f384e13"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b5eebc0ab4e13">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f344aa8a24494">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ccc35898b745dc">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3d37be04cf4c41e4">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dd5ee288642d9">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d2617aef08314d2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523ceba0cd147c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d0a3b1b0b1f451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5f2d5fbbb154305">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f5d2786728e4df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d504b5342ee464e">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0b66a67e55c04b9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625b7de06404a0e">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9f4cc769bdd140f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997824aff184fe7">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45327b049414dcf">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4f93a90231a4b8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6729c0b0b0a94c2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196ff38454c8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e3dd67709df540ae">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pPr>
              <w:pStyle w:val="ListParagraph"/>
              <w:numPr>
                <w:ilvl w:val="0"/>
                <w:numId w:val="2"/>
              </w:numPr>
            </w:pPr>
            <w:hyperlink w:history="true" r:id="R0472f0e669a84ef5">
              <w:r>
                <w:rPr>
                  <w:rStyle w:val="Hyperlink"/>
                </w:rPr>
                <w:t xml:space="preserve">Non-admitted patient DSS 2014-15</w:t>
              </w:r>
            </w:hyperlink>
          </w:p>
          <w:p>
            <w:pPr>
              <w:pStyle w:val="ListParagraph"/>
              <w:numPr>
                <w:ilvl w:val="0"/>
                <w:numId w:val="2"/>
              </w:numPr>
            </w:pPr>
            <w:hyperlink w:history="true" r:id="Redcc642b044a4d09">
              <w:r>
                <w:rPr>
                  <w:rStyle w:val="Hyperlink"/>
                </w:rPr>
                <w:t xml:space="preserve">Non-admitted patient care hospital aggregate NMDS 2014-15</w:t>
              </w:r>
            </w:hyperlink>
          </w:p>
          <w:p>
            <w:pPr>
              <w:pStyle w:val="ListParagraph"/>
              <w:numPr>
                <w:ilvl w:val="0"/>
                <w:numId w:val="2"/>
              </w:numPr>
            </w:pPr>
            <w:hyperlink w:history="true" r:id="Rd8d569f743684654">
              <w:r>
                <w:rPr>
                  <w:rStyle w:val="Hyperlink"/>
                </w:rPr>
                <w:t xml:space="preserve">Non-admitted patient care Local Hospital Network aggregate DSS 2014-15</w:t>
              </w:r>
            </w:hyperlink>
          </w:p>
          <w:p>
            <w:r>
              <w:rPr>
                <w:rStyle w:val="row-content"/>
              </w:rPr>
              <w:t xml:space="preserve"> It is reported nationally using the data element:</w:t>
            </w:r>
          </w:p>
          <w:p>
            <w:hyperlink w:history="true" r:id="R749a00825c7d46a6">
              <w:r>
                <w:rPr>
                  <w:rStyle w:val="Hyperlink"/>
                </w:rPr>
                <w:t xml:space="preserve">Episode of care-source of funding, patient funding source code NN</w:t>
              </w:r>
            </w:hyperlink>
          </w:p>
          <w:p>
            <w:r>
              <w:br/>
            </w:r>
            <w:r>
              <w:br/>
            </w:r>
            <w:hyperlink w:history="true" r:id="R5d90c46eaf79439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a1fc33ddc7449f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f839541083242c8">
              <w:r>
                <w:rPr>
                  <w:rStyle w:val="Hyperlink"/>
                </w:rPr>
                <w:t xml:space="preserve">Non-admitted patient NBEDS 2016-17</w:t>
              </w:r>
            </w:hyperlink>
          </w:p>
          <w:p>
            <w:hyperlink w:history="true" r:id="Rbcaae7bf4f5c4be0">
              <w:r>
                <w:rPr>
                  <w:rStyle w:val="Hyperlink"/>
                </w:rPr>
                <w:t xml:space="preserve">Non-admitted patient care hospital aggregate NMDS 2016-17</w:t>
              </w:r>
            </w:hyperlink>
          </w:p>
          <w:p>
            <w:hyperlink w:history="true" r:id="R60d9f0f7db2144fa">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94cf8f0521b34ce1">
              <w:r>
                <w:rPr>
                  <w:rStyle w:val="Hyperlink"/>
                </w:rPr>
                <w:t xml:space="preserve">Episode of care-source of funding, patient funding source code N</w:t>
              </w:r>
            </w:hyperlink>
          </w:p>
          <w:p>
            <w:r>
              <w:br/>
            </w:r>
            <w:r>
              <w:br/>
            </w:r>
          </w:p>
        </w:tc>
      </w:tr>
    </w:tbl>
    <w:p/>
    <w:tbl>
      <w:tblPr>
        <w:tblStyle w:val="TableGrid"/>
        <w:tblW w:w="0" w:type="auto"/>
      </w:tblPr>
    </w:tbl>
    <w:p>
      <w:r>
        <w:br/>
      </w:r>
    </w:p>
    <w:sectPr>
      <w:footerReference xmlns:r="http://schemas.openxmlformats.org/officeDocument/2006/relationships" w:type="default" r:id="Ra4edf30939d6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0e97896c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df30939d64cb5" /><Relationship Type="http://schemas.openxmlformats.org/officeDocument/2006/relationships/header" Target="/word/header1.xml" Id="Rbc7d4c331a914985" /><Relationship Type="http://schemas.openxmlformats.org/officeDocument/2006/relationships/settings" Target="/word/settings.xml" Id="Rb1e4c534c5e64655" /><Relationship Type="http://schemas.openxmlformats.org/officeDocument/2006/relationships/styles" Target="/word/styles.xml" Id="R2101e22a472242ca" /><Relationship Type="http://schemas.openxmlformats.org/officeDocument/2006/relationships/hyperlink" Target="https://meteor.aihw.gov.au/RegistrationAuthority/2" TargetMode="External" Id="Rd7fb5eebc0ab4e13" /><Relationship Type="http://schemas.openxmlformats.org/officeDocument/2006/relationships/hyperlink" Target="https://meteor.aihw.gov.au/content/500499" TargetMode="External" Id="R11ef344aa8a24494" /><Relationship Type="http://schemas.openxmlformats.org/officeDocument/2006/relationships/hyperlink" Target="https://meteor.aihw.gov.au/content/494132" TargetMode="External" Id="Rbaccc35898b745dc" /><Relationship Type="http://schemas.openxmlformats.org/officeDocument/2006/relationships/hyperlink" Target="https://meteor.aihw.gov.au/content/553314" TargetMode="External" Id="R3d37be04cf4c41e4" /><Relationship Type="http://schemas.openxmlformats.org/officeDocument/2006/relationships/hyperlink" Target="https://meteor.aihw.gov.au/content/494134" TargetMode="External" Id="R0a7dd5ee288642d9" /><Relationship Type="http://schemas.openxmlformats.org/officeDocument/2006/relationships/hyperlink" Target="https://meteor.aihw.gov.au/RegistrationAuthority/2" TargetMode="External" Id="Rd2617aef08314d27" /><Relationship Type="http://schemas.openxmlformats.org/officeDocument/2006/relationships/hyperlink" Target="https://meteor.aihw.gov.au/content/746003" TargetMode="External" Id="R9523ceba0cd147c4" /><Relationship Type="http://schemas.openxmlformats.org/officeDocument/2006/relationships/hyperlink" Target="https://meteor.aihw.gov.au/RegistrationAuthority/12" TargetMode="External" Id="Rfd0a3b1b0b1f4515" /><Relationship Type="http://schemas.openxmlformats.org/officeDocument/2006/relationships/hyperlink" Target="https://meteor.aihw.gov.au/content/780491" TargetMode="External" Id="R15f2d5fbbb154305" /><Relationship Type="http://schemas.openxmlformats.org/officeDocument/2006/relationships/hyperlink" Target="https://meteor.aihw.gov.au/RegistrationAuthority/12" TargetMode="External" Id="R7f5d2786728e4df0" /><Relationship Type="http://schemas.openxmlformats.org/officeDocument/2006/relationships/hyperlink" Target="https://meteor.aihw.gov.au/content/649391" TargetMode="External" Id="R5d504b5342ee464e" /><Relationship Type="http://schemas.openxmlformats.org/officeDocument/2006/relationships/hyperlink" Target="https://meteor.aihw.gov.au/RegistrationAuthority/12" TargetMode="External" Id="R0b66a67e55c04b9d" /><Relationship Type="http://schemas.openxmlformats.org/officeDocument/2006/relationships/hyperlink" Target="https://meteor.aihw.gov.au/content/679815" TargetMode="External" Id="R5625b7de06404a0e" /><Relationship Type="http://schemas.openxmlformats.org/officeDocument/2006/relationships/hyperlink" Target="https://meteor.aihw.gov.au/RegistrationAuthority/12" TargetMode="External" Id="R9f4cc769bdd140f9" /><Relationship Type="http://schemas.openxmlformats.org/officeDocument/2006/relationships/hyperlink" Target="https://meteor.aihw.gov.au/content/472033" TargetMode="External" Id="R8997824aff184fe7" /><Relationship Type="http://schemas.openxmlformats.org/officeDocument/2006/relationships/hyperlink" Target="https://meteor.aihw.gov.au/RegistrationAuthority/12" TargetMode="External" Id="Rf45327b049414dcf" /><Relationship Type="http://schemas.openxmlformats.org/officeDocument/2006/relationships/hyperlink" Target="https://meteor.aihw.gov.au/content/553314" TargetMode="External" Id="Rf4f93a90231a4b8a" /><Relationship Type="http://schemas.openxmlformats.org/officeDocument/2006/relationships/hyperlink" Target="https://meteor.aihw.gov.au/RegistrationAuthority/12" TargetMode="External" Id="R6729c0b0b0a94c27" /><Relationship Type="http://schemas.openxmlformats.org/officeDocument/2006/relationships/hyperlink" Target="https://meteor.aihw.gov.au/content/605977" TargetMode="External" Id="Rb25196ff38454c8d" /><Relationship Type="http://schemas.openxmlformats.org/officeDocument/2006/relationships/hyperlink" Target="https://meteor.aihw.gov.au/RegistrationAuthority/2" TargetMode="External" Id="Re3dd67709df540ae" /><Relationship Type="http://schemas.openxmlformats.org/officeDocument/2006/relationships/numbering" Target="/word/numbering.xml" Id="Rca089da38da741a4" /><Relationship Type="http://schemas.openxmlformats.org/officeDocument/2006/relationships/hyperlink" Target="https://meteor.aihw.gov.au/content/497531" TargetMode="External" Id="R0472f0e669a84ef5" /><Relationship Type="http://schemas.openxmlformats.org/officeDocument/2006/relationships/hyperlink" Target="https://meteor.aihw.gov.au/content/547686" TargetMode="External" Id="Redcc642b044a4d09" /><Relationship Type="http://schemas.openxmlformats.org/officeDocument/2006/relationships/hyperlink" Target="https://meteor.aihw.gov.au/content/557824" TargetMode="External" Id="Rd8d569f743684654" /><Relationship Type="http://schemas.openxmlformats.org/officeDocument/2006/relationships/hyperlink" Target="https://meteor.aihw.gov.au/content/553314" TargetMode="External" Id="R749a00825c7d46a6" /><Relationship Type="http://schemas.openxmlformats.org/officeDocument/2006/relationships/hyperlink" Target="https://meteor.aihw.gov.au/content/648949" TargetMode="External" Id="R5d90c46eaf79439e" /><Relationship Type="http://schemas.openxmlformats.org/officeDocument/2006/relationships/hyperlink" Target="https://meteor.aihw.gov.au/RegistrationAuthority/2" TargetMode="External" Id="R6a1fc33ddc7449f8" /><Relationship Type="http://schemas.openxmlformats.org/officeDocument/2006/relationships/hyperlink" Target="https://meteor.aihw.gov.au/content/612297" TargetMode="External" Id="R2f839541083242c8" /><Relationship Type="http://schemas.openxmlformats.org/officeDocument/2006/relationships/hyperlink" Target="https://meteor.aihw.gov.au/content/612278" TargetMode="External" Id="Rbcaae7bf4f5c4be0" /><Relationship Type="http://schemas.openxmlformats.org/officeDocument/2006/relationships/hyperlink" Target="https://meteor.aihw.gov.au/content/612291" TargetMode="External" Id="R60d9f0f7db2144fa" /><Relationship Type="http://schemas.openxmlformats.org/officeDocument/2006/relationships/hyperlink" Target="https://meteor.aihw.gov.au/content/553314" TargetMode="External" Id="R94cf8f0521b34ce1" /></Relationships>
</file>

<file path=word/_rels/header1.xml.rels>&#65279;<?xml version="1.0" encoding="utf-8"?><Relationships xmlns="http://schemas.openxmlformats.org/package/2006/relationships"><Relationship Type="http://schemas.openxmlformats.org/officeDocument/2006/relationships/image" Target="/media/image.png" Id="R4f8e0e97896c4398" /></Relationships>
</file>