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342c1ea0c4038"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1824e14504c24">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Indigenous community housing organisations (ICHOs) via surveys, the jurisdiction’s administrative systems and dwelling audits conducted by jurisdictions.</w:t>
            </w:r>
          </w:p>
          <w:p>
            <w:pPr>
              <w:spacing w:after="160"/>
            </w:pPr>
            <w:r>
              <w:rPr>
                <w:rStyle w:val="row-content-rich-text"/>
              </w:rPr>
              <w:t xml:space="preserve">The annual data collection captures information about ICHOs, the dwellings they manage and the households assisted at 30 June 2014. Financial information is for the year ending 30 June 2014.</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their data for national reporting in the </w:t>
            </w:r>
            <w:r>
              <w:rPr>
                <w:rStyle w:val="row-content-rich-text"/>
                <w:i/>
              </w:rPr>
              <w:t xml:space="preserve">Report on Government Services (RoGS)</w:t>
            </w:r>
            <w:r>
              <w:rPr>
                <w:rStyle w:val="row-content-rich-text"/>
              </w:rPr>
              <w:t xml:space="preserve">. The data are published in AIHW reports.</w:t>
            </w:r>
          </w:p>
          <w:p>
            <w:pPr>
              <w:pStyle w:val="ListParagraph"/>
              <w:numPr>
                <w:ilvl w:val="0"/>
                <w:numId w:val="2"/>
              </w:numPr>
            </w:pPr>
            <w:r>
              <w:rPr>
                <w:rStyle w:val="row-content-rich-text"/>
              </w:rPr>
              <w:t xml:space="preserve">In many cases complete data were not available for all dwellings or ICHOs in the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d750015c9c545a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1314c5afe1d4a14">
              <w:r>
                <w:rPr>
                  <w:rStyle w:val="Hyperlink"/>
                  <w:i/>
                </w:rPr>
                <w:t xml:space="preserve">Australian Institute of Health and Welfare Act 1987</w:t>
              </w:r>
            </w:hyperlink>
            <w:r>
              <w:rPr>
                <w:rStyle w:val="row-content-rich-text"/>
              </w:rPr>
              <w:t xml:space="preserve">, in conjunction with compliance to the </w:t>
            </w:r>
            <w:hyperlink w:history="true" r:id="R82cf4124c83d4722">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af04d79138940d4">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for the financial year ending 30 June. The reference period for this collection is the 2013–14 financial year and is mostly a 30 June 2014 snapshot, but also captures 2013–14 household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4b3e76f79531448c">
              <w:r>
                <w:rPr>
                  <w:rStyle w:val="Hyperlink"/>
                  <w:i/>
                </w:rPr>
                <w:t xml:space="preserve">Housing Assistance in Australia</w:t>
              </w:r>
            </w:hyperlink>
            <w:r>
              <w:rPr>
                <w:rStyle w:val="row-content-rich-text"/>
              </w:rPr>
              <w:t xml:space="preserve">, which is available publicly on the AIHW website and the </w:t>
            </w:r>
            <w:hyperlink w:history="true" r:id="R31a5a5a7062b4127">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f184d64489a140c7">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74387c27649a492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d20acb250ba54f52">
              <w:r>
                <w:rPr>
                  <w:rStyle w:val="Hyperlink"/>
                </w:rPr>
                <w:t xml:space="preserve">http://www.aihw.gov.au/publication-detail/?id=60129543695</w:t>
              </w:r>
            </w:hyperlink>
            <w:r>
              <w:rPr>
                <w:rStyle w:val="row-content-rich-text"/>
              </w:rPr>
              <w:t xml:space="preserve">.</w:t>
            </w:r>
          </w:p>
          <w:p>
            <w:pPr>
              <w:spacing w:after="160"/>
            </w:pPr>
            <w:r>
              <w:rPr>
                <w:rStyle w:val="row-content-rich-text"/>
              </w:rPr>
              <w:t xml:space="preserve">Supplementary information can be found in the housing collection data manuals available at </w:t>
            </w:r>
          </w:p>
          <w:p>
            <w:hyperlink w:history="true" r:id="Red47eb764cea4097">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ICH data collection contains information about ICHOs, the dwellings they manage and the households assisted.</w:t>
            </w:r>
          </w:p>
          <w:p>
            <w:pPr>
              <w:spacing w:after="160"/>
            </w:pPr>
            <w:r>
              <w:rPr>
                <w:rStyle w:val="row-content-rich-text"/>
              </w:rPr>
              <w:t xml:space="preserve">An ICHO are any Aboriginal and/or Torres Strait Islander organisation that are responsible for managing medium to long term housing for Indigenous people. This includes community organisations such as resource agencies and land councils, which have a range of functions, provided that they manage housing for Indigenous people.</w:t>
            </w:r>
          </w:p>
          <w:p>
            <w:pPr/>
            <w:r>
              <w:rPr>
                <w:rStyle w:val="row-content-rich-text"/>
              </w:rPr>
              <w:t xml:space="preserve">The data collection only includes information about ICHOs that received government funding for the provision of housing assistance within the financial year, with the exception of counts of known unfunded ICHOs (D19b) and the number of permanent dwellings managed by these unfunded ICHOs (D1b).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findings are based on data reported by jurisdictions to the AIHW.</w:t>
            </w:r>
          </w:p>
          <w:p>
            <w:pPr>
              <w:spacing w:after="160"/>
            </w:pPr>
            <w:r>
              <w:rPr>
                <w:rStyle w:val="row-content-rich-text"/>
              </w:rPr>
              <w:t xml:space="preserve">There are known issues with the accuracy of data collected:</w:t>
            </w:r>
          </w:p>
          <w:p>
            <w:pPr>
              <w:spacing w:after="160"/>
            </w:pPr>
            <w:r>
              <w:rPr>
                <w:rStyle w:val="row-content-rich-text"/>
              </w:rPr>
              <w:t xml:space="preserve">• Complete data was not reported for all ICHOs as per the national standards reflecting inconsistencies in the data recorded about individual households/dwellings within ICH administrative systems, missing records and proxy data being reported where the required data was not captured as per the national standard.</w:t>
            </w:r>
          </w:p>
          <w:p>
            <w:pPr>
              <w:spacing w:after="160"/>
            </w:pPr>
            <w:r>
              <w:rPr>
                <w:rStyle w:val="row-content-rich-text"/>
              </w:rPr>
              <w:t xml:space="preserve">• High rates of unknown values were reported for some data items.</w:t>
            </w:r>
          </w:p>
          <w:p>
            <w:pPr>
              <w:spacing w:after="160"/>
            </w:pPr>
            <w:r>
              <w:rPr>
                <w:rStyle w:val="row-content-rich-text"/>
              </w:rPr>
              <w:t xml:space="preserve">• This collection does not include an indigenous identifier - all households are assumed to include at least one indigenous member.</w:t>
            </w:r>
          </w:p>
          <w:p>
            <w:pPr>
              <w:spacing w:after="160"/>
            </w:pPr>
            <w:r>
              <w:rPr>
                <w:rStyle w:val="row-content-rich-text"/>
              </w:rPr>
              <w:t xml:space="preserve">In the absence of an independent and reliable national data set containing information about the size and characteristics of the ICH sector, no attempt was made to correct the data for errors e.g. where no information was provided for an ICHO, where there were missing records for specific households/dwellings managed by an ICHO, for missing records, or for unknown values.</w:t>
            </w:r>
          </w:p>
          <w:p>
            <w:pPr>
              <w:spacing w:after="160"/>
            </w:pPr>
            <w:r>
              <w:rPr>
                <w:rStyle w:val="row-content-rich-text"/>
              </w:rPr>
              <w:t xml:space="preserve">Specific State/Territory issues are:</w:t>
            </w:r>
          </w:p>
          <w:p>
            <w:pPr>
              <w:spacing w:after="160"/>
            </w:pPr>
            <w:r>
              <w:rPr>
                <w:rStyle w:val="row-content-rich-text"/>
                <w:b/>
              </w:rPr>
              <w:t xml:space="preserve">New South Wales and South Australia</w:t>
            </w:r>
            <w:r>
              <w:br/>
            </w:r>
            <w:r>
              <w:rPr>
                <w:rStyle w:val="row-content-rich-text"/>
              </w:rPr>
              <w:t xml:space="preserve">• New South Wales and South Australia were unable to provide complete household-level data pertaining to occupancy rates and need for additional bedrooms. This limits data comparability across jurisdictions due to data completeness and missing data. </w:t>
            </w:r>
          </w:p>
          <w:p>
            <w:pPr>
              <w:spacing w:after="160"/>
            </w:pPr>
            <w:r>
              <w:rPr>
                <w:rStyle w:val="row-content-rich-text"/>
                <w:b/>
              </w:rPr>
              <w:t xml:space="preserve">Victoria, Queensland, Western Australia, South Australia and Tasmania</w:t>
            </w:r>
          </w:p>
          <w:p>
            <w:pPr>
              <w:spacing w:after="160"/>
            </w:pPr>
            <w:r>
              <w:rPr>
                <w:rStyle w:val="row-content-rich-text"/>
              </w:rPr>
              <w:t xml:space="preserve">• From 2009–10, the scope of most data items within the ICH collection was restricted to ICHOs that received funding within the financial year. These jurisdictions have advised that they are unable to comment on the quality of the unfunded information provided as they have little ability to enforce compliance with reporting requirements.</w:t>
            </w:r>
          </w:p>
          <w:p>
            <w:pPr>
              <w:spacing w:after="160"/>
            </w:pPr>
            <w:r>
              <w:rPr>
                <w:rStyle w:val="row-content-rich-text"/>
                <w:b/>
              </w:rPr>
              <w:t xml:space="preserve">Queensland, Western Australia and South Australia</w:t>
            </w:r>
            <w:r>
              <w:br/>
            </w:r>
            <w:r>
              <w:rPr>
                <w:rStyle w:val="row-content-rich-text"/>
                <w:b/>
              </w:rPr>
              <w:t xml:space="preserve"> </w:t>
            </w:r>
            <w:r>
              <w:rPr>
                <w:rStyle w:val="row-content-rich-text"/>
              </w:rPr>
              <w:t xml:space="preserve">• Since 2011-12, the ICH data collection includes dwellings in Queensland, Western Australia and South Australia that were owned by ICHOs where tenancy management services were provided by the state/territory housing authority.</w:t>
            </w:r>
          </w:p>
          <w:p>
            <w:pPr>
              <w:spacing w:after="160"/>
            </w:pPr>
            <w:r>
              <w:rPr>
                <w:rStyle w:val="row-content-rich-text"/>
                <w:b/>
              </w:rPr>
              <w:t xml:space="preserve">South Australia</w:t>
            </w:r>
            <w:r>
              <w:br/>
            </w:r>
            <w:r>
              <w:rPr>
                <w:rStyle w:val="row-content-rich-text"/>
                <w:b/>
              </w:rPr>
              <w:t xml:space="preserve"> </w:t>
            </w:r>
            <w:r>
              <w:rPr>
                <w:rStyle w:val="row-content-rich-text"/>
              </w:rPr>
              <w:t xml:space="preserve">• From 2012-13, information is only reported for tenancies managed by the state housing authority and not tenancies managed by ICHOs (with the exception of an estimated count of permanent dwellings managed by funded ICHOs). This change in methodology contributed to the reported decrease in the size of the sector and variations in performance indicator results.</w:t>
            </w:r>
          </w:p>
          <w:p>
            <w:pPr>
              <w:spacing w:after="160"/>
            </w:pPr>
            <w:r>
              <w:rPr>
                <w:rStyle w:val="row-content-rich-text"/>
              </w:rPr>
              <w:t xml:space="preserve">• A new system implementation in 2012-13 led to unexpected data quality issues in the reported data for additional bedrooms and occupancy. As a result data for overcrowding and occupancy for 2012-13 and 2013-14 was not provided to AIHW.</w:t>
            </w:r>
          </w:p>
          <w:p>
            <w:pPr>
              <w:spacing w:after="160"/>
            </w:pPr>
            <w:r>
              <w:rPr>
                <w:rStyle w:val="row-content-rich-text"/>
                <w:b/>
              </w:rPr>
              <w:t xml:space="preserve">Tasmania</w:t>
            </w:r>
            <w:r>
              <w:br/>
            </w:r>
            <w:r>
              <w:rPr>
                <w:rStyle w:val="row-content-rich-text"/>
                <w:b/>
              </w:rPr>
              <w:t xml:space="preserve"> </w:t>
            </w:r>
            <w:r>
              <w:rPr>
                <w:rStyle w:val="row-content-rich-text"/>
              </w:rPr>
              <w:t xml:space="preserve">• Information on households, including the number of additional bedrooms required, is not reported by Tasmanian ICHOs.</w:t>
            </w:r>
          </w:p>
          <w:p>
            <w:pPr>
              <w:spacing w:after="160"/>
            </w:pPr>
            <w:r>
              <w:rPr>
                <w:rStyle w:val="row-content-rich-text"/>
              </w:rPr>
              <w:t xml:space="preserve">• A new arrears policy was implemented in 2012-13. This contributed to improvements in data quality for rent in 2013-14.</w:t>
            </w:r>
          </w:p>
          <w:p>
            <w:pPr/>
            <w:r>
              <w:rPr>
                <w:rStyle w:val="row-content-rich-text"/>
                <w:b/>
              </w:rPr>
              <w:t xml:space="preserve">Northern Territory</w:t>
            </w:r>
            <w:r>
              <w:br/>
            </w:r>
            <w:r>
              <w:rPr>
                <w:rStyle w:val="row-content-rich-text"/>
              </w:rPr>
              <w:t xml:space="preserve">• The NT government has advised that approximately 4,631 dwellings were transferred from Indigenous housing to remote public housing during 2008-10. These dwellings were not reported in either the ICH data collection or the public housing data collection. As a result, total social housing in the NT continues to be under-reported, and performance indicator results are not reflective of total social housing stock. In 2013-14 an updated count of permanently occupied dwellings has led to an 4.2% increase in the social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e.g. reflecting differences in how the data for the collection was sourced by jurisdictions, the number and profiles of ICHOs for which data was provided/not provided, the completeness of the data reported for some ICHOs and the instances of unknown values recorded for some data items. There have been a variety of different data quality issues each year. For specific caveats on previous years’ data, consult the footnotes and DQS in the relevant edition of this 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2008–09 and 2007–08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and data for these dwellings are now reported under the relevant state or territory.</w:t>
            </w:r>
          </w:p>
          <w:p>
            <w:pPr>
              <w:spacing w:after="160"/>
            </w:pPr>
            <w:r>
              <w:rPr>
                <w:rStyle w:val="row-content-rich-text"/>
              </w:rPr>
              <w:t xml:space="preserve">Specific State/Territory issues are:</w:t>
            </w:r>
          </w:p>
          <w:p>
            <w:pPr>
              <w:spacing w:after="160"/>
            </w:pPr>
            <w:r>
              <w:rPr>
                <w:rStyle w:val="row-content-rich-text"/>
                <w:b/>
              </w:rPr>
              <w:t xml:space="preserve">New South Wales</w:t>
            </w:r>
            <w:r>
              <w:br/>
            </w:r>
            <w:r>
              <w:rPr>
                <w:rStyle w:val="row-content-rich-text"/>
              </w:rPr>
              <w:t xml:space="preserve">• Data from 2013-14 and 2012-13 are not comparable with previous data. From 2012-13, NSW was able to report information about funded ICHOs, the dwellings they managed and the households they assisted. Prior to 2012-13, NSW reported proxy information about providers that were actively registered with the Aboriginal Housing Office. Some of these registered providers were not funded.</w:t>
            </w:r>
          </w:p>
          <w:p>
            <w:pPr>
              <w:spacing w:after="160"/>
            </w:pPr>
            <w:r>
              <w:rPr>
                <w:rStyle w:val="row-content-rich-text"/>
                <w:b/>
              </w:rPr>
              <w:t xml:space="preserve">Victoria</w:t>
            </w:r>
            <w:r>
              <w:br/>
            </w:r>
            <w:r>
              <w:rPr>
                <w:rStyle w:val="row-content-rich-text"/>
              </w:rPr>
              <w:t xml:space="preserve">• From 2009–10 both Aboriginal Housing Victoria and ICHO activity was reported, since assuming administrative responsibility for the former Community Housing and Infrastructure Program (CHIP), previously managed by the Commonwealth. For the two years prior to 2009–10, Victoria reported Aboriginal Housing Victoria activity only.</w:t>
            </w:r>
          </w:p>
          <w:p>
            <w:pPr>
              <w:spacing w:after="160"/>
            </w:pPr>
            <w:r>
              <w:rPr>
                <w:rStyle w:val="row-content-rich-text"/>
                <w:b/>
              </w:rPr>
              <w:t xml:space="preserve">Tasmania</w:t>
            </w:r>
            <w:r>
              <w:br/>
            </w:r>
            <w:r>
              <w:rPr>
                <w:rStyle w:val="row-content-rich-text"/>
              </w:rPr>
              <w:t xml:space="preserve">• In previous collections, one property used as a health and welfare centre was incorrectly reported. This property is no longer reported within the collection, contributing to some variations over time.</w:t>
            </w:r>
          </w:p>
          <w:p>
            <w:pPr>
              <w:spacing w:after="160"/>
            </w:pPr>
            <w:r>
              <w:rPr>
                <w:rStyle w:val="row-content-rich-text"/>
                <w:b/>
              </w:rPr>
              <w:t xml:space="preserve">South Australia</w:t>
            </w:r>
            <w:r>
              <w:br/>
            </w:r>
            <w:r>
              <w:rPr>
                <w:rStyle w:val="row-content-rich-text"/>
              </w:rPr>
              <w:t xml:space="preserve">• From 2012-13, data are only reported for tenancies managed by the state housing authority. Prior to 2012-13, all dwelling and household data was based on tenancy and asset audit data. This change in methodology contributed to the reported decrease in the size of the sector and variations in performance indicator results.</w:t>
            </w:r>
          </w:p>
          <w:p>
            <w:pPr/>
            <w:r>
              <w:rPr>
                <w:rStyle w:val="row-content-rich-text"/>
                <w:b/>
              </w:rPr>
              <w:t xml:space="preserve">Australian Capital Territory</w:t>
            </w:r>
            <w:r>
              <w:br/>
            </w:r>
            <w:r>
              <w:rPr>
                <w:rStyle w:val="row-content-rich-text"/>
              </w:rPr>
              <w:t xml:space="preserve">• ACT reported having no in-scope providers in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6399320954edf">
              <w:r>
                <w:rPr>
                  <w:rStyle w:val="Hyperlink"/>
                </w:rPr>
                <w:t xml:space="preserve">Indigenous community housing 2012-13 Data Quality Statement</w:t>
              </w:r>
            </w:hyperlink>
          </w:p>
          <w:p>
            <w:pPr>
              <w:spacing w:before="0" w:after="0"/>
            </w:pPr>
            <w:r>
              <w:rPr>
                <w:rStyle w:val="row-content"/>
                <w:color w:val="244061"/>
              </w:rPr>
              <w:t xml:space="preserve">       </w:t>
            </w:r>
            <w:hyperlink w:history="true" r:id="Rb7331c0745584f98">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7b06f89cae294e38">
              <w:r>
                <w:rPr>
                  <w:rStyle w:val="Hyperlink"/>
                </w:rPr>
                <w:t xml:space="preserve">Indigenous Community Housing Collection, 2014-15; Quality Statement</w:t>
              </w:r>
            </w:hyperlink>
          </w:p>
          <w:p>
            <w:pPr>
              <w:spacing w:before="0" w:after="0"/>
            </w:pPr>
            <w:r>
              <w:rPr>
                <w:rStyle w:val="row-content"/>
                <w:color w:val="244061"/>
              </w:rPr>
              <w:t xml:space="preserve">       </w:t>
            </w:r>
            <w:hyperlink w:history="true" r:id="R6db9a9ff08014556">
              <w:r>
                <w:rPr>
                  <w:rStyle w:val="Hyperlink"/>
                  <w:color w:val="244061"/>
                </w:rPr>
                <w:t xml:space="preserve">AIHW Data Quality Statements</w:t>
              </w:r>
            </w:hyperlink>
            <w:r>
              <w:rPr>
                <w:rStyle w:val="row-content"/>
                <w:color w:val="244061"/>
              </w:rPr>
              <w:t xml:space="preserve">, Superseded 06/06/2017</w:t>
            </w:r>
          </w:p>
          <w:p>
            <w:r>
              <w:br/>
            </w:r>
          </w:p>
        </w:tc>
      </w:tr>
    </w:tbl>
    <w:p>
      <w:r>
        <w:br/>
      </w:r>
    </w:p>
    <w:sectPr>
      <w:footerReference xmlns:r="http://schemas.openxmlformats.org/officeDocument/2006/relationships" w:type="default" r:id="Racdf2fb18661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c451173a3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f2fb18661470f" /><Relationship Type="http://schemas.openxmlformats.org/officeDocument/2006/relationships/header" Target="/word/header1.xml" Id="R45caa448ec144c16" /><Relationship Type="http://schemas.openxmlformats.org/officeDocument/2006/relationships/settings" Target="/word/settings.xml" Id="Rce19923810ac4dfb" /><Relationship Type="http://schemas.openxmlformats.org/officeDocument/2006/relationships/styles" Target="/word/styles.xml" Id="Re2411754fe3f47b2" /><Relationship Type="http://schemas.openxmlformats.org/officeDocument/2006/relationships/hyperlink" Target="https://meteor.aihw.gov.au/RegistrationAuthority/5" TargetMode="External" Id="Re7a1824e14504c24" /><Relationship Type="http://schemas.openxmlformats.org/officeDocument/2006/relationships/numbering" Target="/word/numbering.xml" Id="Rd2239d502d1c42b2" /><Relationship Type="http://schemas.openxmlformats.org/officeDocument/2006/relationships/hyperlink" Target="http://www.comlaw.gov.au/Series/C2004A03450" TargetMode="External" Id="R9d750015c9c545a1" /><Relationship Type="http://schemas.openxmlformats.org/officeDocument/2006/relationships/hyperlink" Target="http://www.comlaw.gov.au/Series/C2004A03450" TargetMode="External" Id="Re1314c5afe1d4a14" /><Relationship Type="http://schemas.openxmlformats.org/officeDocument/2006/relationships/hyperlink" Target="http://www.comlaw.gov.au/Details/C2011C00503" TargetMode="External" Id="R82cf4124c83d4722" /><Relationship Type="http://schemas.openxmlformats.org/officeDocument/2006/relationships/hyperlink" Target="http://www.aihw.gov.au" TargetMode="External" Id="Reaf04d79138940d4" /><Relationship Type="http://schemas.openxmlformats.org/officeDocument/2006/relationships/hyperlink" Target="https://meteor.aihw.gov.au/www.aihw.gov.au/housing-assistance/haa/2015/" TargetMode="External" Id="R4b3e76f79531448c" /><Relationship Type="http://schemas.openxmlformats.org/officeDocument/2006/relationships/hyperlink" Target="http://www.pc.gov.au/" TargetMode="External" Id="R31a5a5a7062b4127" /><Relationship Type="http://schemas.openxmlformats.org/officeDocument/2006/relationships/hyperlink" Target="https://datarequest.aihw.gov.au/_layouts/AdHocDataRequest/LodgeRequest.aspx/" TargetMode="External" Id="Rf184d64489a140c7" /><Relationship Type="http://schemas.openxmlformats.org/officeDocument/2006/relationships/hyperlink" Target="mailto:info@aihw.gov.au" TargetMode="External" Id="R74387c27649a492f" /><Relationship Type="http://schemas.openxmlformats.org/officeDocument/2006/relationships/hyperlink" Target="http://www.aihw.gov.au/publication-detail/?id=60129543695" TargetMode="External" Id="Rd20acb250ba54f52" /><Relationship Type="http://schemas.openxmlformats.org/officeDocument/2006/relationships/hyperlink" Target="https://meteor.aihw.gov.au/content/487037" TargetMode="External" Id="Red47eb764cea4097" /><Relationship Type="http://schemas.openxmlformats.org/officeDocument/2006/relationships/hyperlink" Target="https://meteor.aihw.gov.au/content/600285" TargetMode="External" Id="R8726399320954edf" /><Relationship Type="http://schemas.openxmlformats.org/officeDocument/2006/relationships/hyperlink" Target="https://meteor.aihw.gov.au/RegistrationAuthority/5" TargetMode="External" Id="Rb7331c0745584f98" /><Relationship Type="http://schemas.openxmlformats.org/officeDocument/2006/relationships/hyperlink" Target="https://meteor.aihw.gov.au/content/628419" TargetMode="External" Id="R7b06f89cae294e38" /><Relationship Type="http://schemas.openxmlformats.org/officeDocument/2006/relationships/hyperlink" Target="https://meteor.aihw.gov.au/RegistrationAuthority/5" TargetMode="External" Id="R6db9a9ff08014556" /></Relationships>
</file>

<file path=word/_rels/header1.xml.rels>&#65279;<?xml version="1.0" encoding="utf-8"?><Relationships xmlns="http://schemas.openxmlformats.org/package/2006/relationships"><Relationship Type="http://schemas.openxmlformats.org/officeDocument/2006/relationships/image" Target="/media/image.png" Id="R3efc451173a34d3a" /></Relationships>
</file>